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10" w:type="dxa"/>
          <w:right w:w="10" w:type="dxa"/>
        </w:tblCellMar>
        <w:tblLook w:val="04A0" w:firstRow="1" w:lastRow="0" w:firstColumn="1" w:lastColumn="0" w:noHBand="0" w:noVBand="1"/>
      </w:tblPr>
      <w:tblGrid>
        <w:gridCol w:w="3334"/>
        <w:gridCol w:w="4042"/>
        <w:gridCol w:w="6572"/>
      </w:tblGrid>
      <w:tr w:rsidR="00211B73" w:rsidRPr="00CE33C2" w14:paraId="03CC6869"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1C7122" w14:textId="77777777" w:rsidR="00211B73" w:rsidRPr="00CE33C2" w:rsidRDefault="00211B73" w:rsidP="00595DC6">
            <w:pPr>
              <w:pStyle w:val="TableHeader"/>
              <w:jc w:val="left"/>
              <w:rPr>
                <w:rFonts w:ascii="Calibri" w:hAnsi="Calibri" w:cs="Calibri"/>
              </w:rPr>
            </w:pPr>
            <w:r w:rsidRPr="00CE33C2">
              <w:rPr>
                <w:rFonts w:ascii="Calibri" w:hAnsi="Calibri" w:cs="Calibri"/>
              </w:rPr>
              <w:t>Intended outcome</w:t>
            </w:r>
          </w:p>
        </w:tc>
        <w:tc>
          <w:tcPr>
            <w:tcW w:w="40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D28C7" w14:textId="77777777" w:rsidR="00211B73" w:rsidRPr="00CE33C2" w:rsidRDefault="00211B73" w:rsidP="00595DC6">
            <w:pPr>
              <w:pStyle w:val="TableHeader"/>
              <w:jc w:val="left"/>
              <w:rPr>
                <w:rFonts w:ascii="Calibri" w:hAnsi="Calibri" w:cs="Calibri"/>
              </w:rPr>
            </w:pPr>
            <w:r w:rsidRPr="00CE33C2">
              <w:rPr>
                <w:rFonts w:ascii="Calibri" w:hAnsi="Calibri" w:cs="Calibri"/>
              </w:rPr>
              <w:t>Success criteria</w:t>
            </w:r>
          </w:p>
        </w:tc>
        <w:tc>
          <w:tcPr>
            <w:tcW w:w="6572" w:type="dxa"/>
            <w:tcBorders>
              <w:top w:val="single" w:sz="4" w:space="0" w:color="000000"/>
              <w:left w:val="single" w:sz="4" w:space="0" w:color="000000"/>
              <w:bottom w:val="single" w:sz="4" w:space="0" w:color="000000"/>
              <w:right w:val="single" w:sz="4" w:space="0" w:color="000000"/>
            </w:tcBorders>
            <w:shd w:val="clear" w:color="auto" w:fill="D8E2E9"/>
          </w:tcPr>
          <w:p w14:paraId="088224DA" w14:textId="77777777" w:rsidR="00211B73" w:rsidRPr="00CE33C2" w:rsidRDefault="00211B73" w:rsidP="00595DC6">
            <w:pPr>
              <w:pStyle w:val="TableHeader"/>
              <w:jc w:val="left"/>
              <w:rPr>
                <w:rFonts w:ascii="Calibri" w:hAnsi="Calibri" w:cs="Calibri"/>
              </w:rPr>
            </w:pPr>
            <w:r w:rsidRPr="00CE33C2">
              <w:rPr>
                <w:rFonts w:ascii="Calibri" w:hAnsi="Calibri" w:cs="Calibri"/>
              </w:rPr>
              <w:t xml:space="preserve">Progress towards intended outcome </w:t>
            </w:r>
          </w:p>
        </w:tc>
      </w:tr>
      <w:tr w:rsidR="00211B73" w:rsidRPr="00CE33C2" w14:paraId="010DA8C7"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67DA5"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Improve oral language skills for all pupils</w:t>
            </w:r>
          </w:p>
          <w:p w14:paraId="633EFF1A"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entitled to PP, with a specific focus on the</w:t>
            </w:r>
          </w:p>
          <w:p w14:paraId="02CD7253"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EYFS and KS1 through the use of quality first</w:t>
            </w:r>
          </w:p>
          <w:p w14:paraId="1EA78085"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interaction strategies and increased</w:t>
            </w:r>
          </w:p>
          <w:p w14:paraId="1AFA21CC"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opportunities for talk.</w:t>
            </w:r>
          </w:p>
          <w:p w14:paraId="08EF516D"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Enrich pupils’ vocabulary so that their</w:t>
            </w:r>
          </w:p>
          <w:p w14:paraId="60136C8E" w14:textId="77777777"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comprehension improves and they have the</w:t>
            </w:r>
          </w:p>
          <w:p w14:paraId="643878FF" w14:textId="0E4B8AA3" w:rsidR="00211B73" w:rsidRPr="00211B73" w:rsidRDefault="00211B73" w:rsidP="00211B73">
            <w:pPr>
              <w:pStyle w:val="TableRow"/>
              <w:rPr>
                <w:rFonts w:ascii="Calibri" w:hAnsi="Calibri" w:cs="Calibri"/>
                <w:sz w:val="22"/>
                <w:szCs w:val="22"/>
              </w:rPr>
            </w:pPr>
            <w:r w:rsidRPr="00211B73">
              <w:rPr>
                <w:rFonts w:ascii="Calibri" w:hAnsi="Calibri" w:cs="Calibri"/>
                <w:sz w:val="22"/>
                <w:szCs w:val="22"/>
              </w:rPr>
              <w:t>language to reason and express themselves</w:t>
            </w:r>
            <w:r w:rsidRPr="00CE33C2">
              <w:rPr>
                <w:rFonts w:ascii="Calibri" w:hAnsi="Calibri" w:cs="Calibri"/>
                <w:sz w:val="22"/>
                <w:szCs w:val="22"/>
              </w:rPr>
              <w:t xml:space="preserve"> </w:t>
            </w:r>
            <w:r w:rsidRPr="00CE33C2">
              <w:rPr>
                <w:rFonts w:ascii="Calibri" w:hAnsi="Calibri" w:cs="Calibri"/>
                <w:sz w:val="22"/>
                <w:szCs w:val="22"/>
              </w:rPr>
              <w:t>through specific vocabulary development</w:t>
            </w:r>
            <w:r w:rsidRPr="00CE33C2">
              <w:rPr>
                <w:rFonts w:ascii="Calibri" w:hAnsi="Calibri" w:cs="Calibri"/>
                <w:sz w:val="22"/>
                <w:szCs w:val="22"/>
              </w:rPr>
              <w:t>.</w:t>
            </w:r>
          </w:p>
          <w:p w14:paraId="53CE33DF" w14:textId="50005CD7" w:rsidR="00211B73" w:rsidRPr="00CE33C2" w:rsidRDefault="00211B73" w:rsidP="00595DC6">
            <w:pPr>
              <w:pStyle w:val="TableRow"/>
              <w:rPr>
                <w:rFonts w:ascii="Calibri" w:hAnsi="Calibri" w:cs="Calibri"/>
                <w:sz w:val="22"/>
                <w:szCs w:val="22"/>
              </w:rPr>
            </w:pP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DDF91" w14:textId="44EE3CAB" w:rsidR="00211B73" w:rsidRPr="00CE33C2" w:rsidRDefault="00211B73" w:rsidP="00595DC6">
            <w:pPr>
              <w:pStyle w:val="TableRowCentered"/>
              <w:jc w:val="left"/>
              <w:rPr>
                <w:rFonts w:ascii="Calibri" w:hAnsi="Calibri" w:cs="Calibri"/>
                <w:sz w:val="22"/>
                <w:szCs w:val="22"/>
              </w:rPr>
            </w:pPr>
            <w:r w:rsidRPr="00CE33C2">
              <w:rPr>
                <w:rFonts w:ascii="Calibri" w:hAnsi="Calibri" w:cs="Calibri"/>
                <w:sz w:val="22"/>
                <w:szCs w:val="22"/>
              </w:rPr>
              <w:t>75% pupils entitled to PP achieve expected+ in CL at the end of the EYFS. Pupils make accelerated progress as a result of high quality interventions. Pupils use appropriate vocabulary to articulate and justify arguments, answers and opinions. Pupils use Standard English.</w:t>
            </w:r>
          </w:p>
        </w:tc>
        <w:tc>
          <w:tcPr>
            <w:tcW w:w="6572" w:type="dxa"/>
            <w:tcBorders>
              <w:top w:val="single" w:sz="4" w:space="0" w:color="000000"/>
              <w:left w:val="single" w:sz="4" w:space="0" w:color="000000"/>
              <w:bottom w:val="single" w:sz="4" w:space="0" w:color="000000"/>
              <w:right w:val="single" w:sz="4" w:space="0" w:color="000000"/>
            </w:tcBorders>
          </w:tcPr>
          <w:p w14:paraId="05A24C34" w14:textId="77777777" w:rsidR="0086797E" w:rsidRPr="00CE33C2" w:rsidRDefault="0086797E" w:rsidP="0086797E">
            <w:pPr>
              <w:pStyle w:val="TableRow"/>
              <w:rPr>
                <w:rFonts w:ascii="Calibri" w:hAnsi="Calibri" w:cs="Calibri"/>
                <w:sz w:val="22"/>
                <w:szCs w:val="22"/>
              </w:rPr>
            </w:pPr>
            <w:r w:rsidRPr="00CE33C2">
              <w:rPr>
                <w:rFonts w:ascii="Calibri" w:hAnsi="Calibri" w:cs="Calibri"/>
                <w:sz w:val="22"/>
                <w:szCs w:val="22"/>
              </w:rPr>
              <w:t>Analysis of EYFS data shows that oral language skills (CL) for children entitled to pupil premium at The King’s are continuing to improve with 100% FSM learners achieving ELG for both strands of Communication and Language (Listening, Attention &amp; Understanding plus Speaking). Only time and further analysis will see if this was cohort specific or indicative of a continual rise in standards. We will continue to monitor improvements closely due to the very low starting points of our Early years children. It is clear form annual baselines that this needs to remain a priority but also proves that interventions for our Early Years are a success. As a comparison, 76.2% of the district achieved ELG in this area, 73% for the LA and National.</w:t>
            </w:r>
          </w:p>
          <w:p w14:paraId="5441F2D5" w14:textId="77777777" w:rsidR="00211B73" w:rsidRPr="00CE33C2" w:rsidRDefault="00211B73" w:rsidP="00211B73">
            <w:pPr>
              <w:pStyle w:val="TableRowCentered"/>
              <w:jc w:val="left"/>
              <w:rPr>
                <w:rFonts w:ascii="Calibri" w:hAnsi="Calibri" w:cs="Calibri"/>
                <w:sz w:val="22"/>
                <w:szCs w:val="22"/>
              </w:rPr>
            </w:pPr>
          </w:p>
        </w:tc>
      </w:tr>
      <w:tr w:rsidR="00211B73" w:rsidRPr="00CE33C2" w14:paraId="50437E76"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59F3B" w14:textId="77777777" w:rsidR="00211B73" w:rsidRPr="00211B73" w:rsidRDefault="00211B73" w:rsidP="00211B73">
            <w:pPr>
              <w:pStyle w:val="TableRow"/>
              <w:rPr>
                <w:rFonts w:ascii="Calibri" w:eastAsiaTheme="majorEastAsia" w:hAnsi="Calibri" w:cs="Calibri"/>
                <w:color w:val="auto"/>
                <w:sz w:val="22"/>
                <w:szCs w:val="22"/>
              </w:rPr>
            </w:pPr>
            <w:r w:rsidRPr="00211B73">
              <w:rPr>
                <w:rFonts w:ascii="Calibri" w:eastAsiaTheme="majorEastAsia" w:hAnsi="Calibri" w:cs="Calibri"/>
                <w:color w:val="auto"/>
                <w:sz w:val="22"/>
                <w:szCs w:val="22"/>
              </w:rPr>
              <w:t>Ensure that PP children are supported well</w:t>
            </w:r>
          </w:p>
          <w:p w14:paraId="31BA692F" w14:textId="77777777" w:rsidR="00211B73" w:rsidRPr="00211B73" w:rsidRDefault="00211B73" w:rsidP="00211B73">
            <w:pPr>
              <w:pStyle w:val="TableRow"/>
              <w:rPr>
                <w:rFonts w:ascii="Calibri" w:eastAsiaTheme="majorEastAsia" w:hAnsi="Calibri" w:cs="Calibri"/>
                <w:color w:val="auto"/>
                <w:sz w:val="22"/>
                <w:szCs w:val="22"/>
              </w:rPr>
            </w:pPr>
            <w:r w:rsidRPr="00211B73">
              <w:rPr>
                <w:rFonts w:ascii="Calibri" w:eastAsiaTheme="majorEastAsia" w:hAnsi="Calibri" w:cs="Calibri"/>
                <w:color w:val="auto"/>
                <w:sz w:val="22"/>
                <w:szCs w:val="22"/>
              </w:rPr>
              <w:t>through Quality First Teaching and high</w:t>
            </w:r>
          </w:p>
          <w:p w14:paraId="3856F6C2" w14:textId="77777777" w:rsidR="000578D1" w:rsidRPr="00CE33C2" w:rsidRDefault="00211B73" w:rsidP="000578D1">
            <w:pPr>
              <w:pStyle w:val="TableRow"/>
              <w:rPr>
                <w:rFonts w:ascii="Calibri" w:eastAsiaTheme="majorEastAsia" w:hAnsi="Calibri" w:cs="Calibri"/>
                <w:color w:val="auto"/>
                <w:sz w:val="22"/>
                <w:szCs w:val="22"/>
              </w:rPr>
            </w:pPr>
            <w:r w:rsidRPr="00211B73">
              <w:rPr>
                <w:rFonts w:ascii="Calibri" w:eastAsiaTheme="majorEastAsia" w:hAnsi="Calibri" w:cs="Calibri"/>
                <w:color w:val="auto"/>
                <w:sz w:val="22"/>
                <w:szCs w:val="22"/>
              </w:rPr>
              <w:t>impact interventions to bring the number of</w:t>
            </w:r>
            <w:r w:rsidR="000578D1" w:rsidRPr="00CE33C2">
              <w:rPr>
                <w:rFonts w:ascii="Calibri" w:eastAsiaTheme="majorEastAsia" w:hAnsi="Calibri" w:cs="Calibri"/>
                <w:color w:val="auto"/>
                <w:sz w:val="22"/>
                <w:szCs w:val="22"/>
              </w:rPr>
              <w:t xml:space="preserve"> </w:t>
            </w:r>
            <w:r w:rsidR="000578D1" w:rsidRPr="00CE33C2">
              <w:rPr>
                <w:rFonts w:ascii="Calibri" w:eastAsiaTheme="majorEastAsia" w:hAnsi="Calibri" w:cs="Calibri"/>
                <w:color w:val="auto"/>
                <w:sz w:val="22"/>
                <w:szCs w:val="22"/>
              </w:rPr>
              <w:t>children entitled to PP who achieve ARE and</w:t>
            </w:r>
          </w:p>
          <w:p w14:paraId="7B454CC9" w14:textId="77777777" w:rsidR="000578D1" w:rsidRPr="000578D1" w:rsidRDefault="000578D1" w:rsidP="000578D1">
            <w:pPr>
              <w:pStyle w:val="TableRow"/>
              <w:rPr>
                <w:rFonts w:ascii="Calibri" w:eastAsiaTheme="majorEastAsia" w:hAnsi="Calibri" w:cs="Calibri"/>
                <w:color w:val="auto"/>
                <w:sz w:val="22"/>
                <w:szCs w:val="22"/>
              </w:rPr>
            </w:pPr>
            <w:r w:rsidRPr="000578D1">
              <w:rPr>
                <w:rFonts w:ascii="Calibri" w:eastAsiaTheme="majorEastAsia" w:hAnsi="Calibri" w:cs="Calibri"/>
                <w:color w:val="auto"/>
                <w:sz w:val="22"/>
                <w:szCs w:val="22"/>
              </w:rPr>
              <w:lastRenderedPageBreak/>
              <w:t>GDS in line with National outcomes.</w:t>
            </w:r>
          </w:p>
          <w:p w14:paraId="5762063E" w14:textId="2C9FB2D5" w:rsidR="00211B73" w:rsidRPr="00211B73" w:rsidRDefault="00211B73" w:rsidP="00211B73">
            <w:pPr>
              <w:pStyle w:val="TableRow"/>
              <w:rPr>
                <w:rFonts w:ascii="Calibri" w:eastAsiaTheme="majorEastAsia" w:hAnsi="Calibri" w:cs="Calibri"/>
                <w:color w:val="auto"/>
                <w:sz w:val="22"/>
                <w:szCs w:val="22"/>
              </w:rPr>
            </w:pPr>
          </w:p>
          <w:p w14:paraId="04109424" w14:textId="72A8A66D" w:rsidR="00211B73" w:rsidRPr="00CE33C2" w:rsidRDefault="00211B73" w:rsidP="000578D1">
            <w:pPr>
              <w:pStyle w:val="TableRow"/>
              <w:rPr>
                <w:rFonts w:ascii="Calibri" w:hAnsi="Calibri" w:cs="Calibri"/>
                <w:sz w:val="22"/>
                <w:szCs w:val="22"/>
              </w:rPr>
            </w:pP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E1780" w14:textId="3EE5BF24" w:rsidR="00211B73" w:rsidRPr="00CE33C2" w:rsidRDefault="00B267CF" w:rsidP="00595DC6">
            <w:pPr>
              <w:pStyle w:val="TableRowCentered"/>
              <w:jc w:val="left"/>
              <w:rPr>
                <w:rFonts w:ascii="Calibri" w:hAnsi="Calibri" w:cs="Calibri"/>
                <w:sz w:val="22"/>
                <w:szCs w:val="22"/>
              </w:rPr>
            </w:pPr>
            <w:r w:rsidRPr="00CE33C2">
              <w:rPr>
                <w:rFonts w:ascii="Calibri" w:hAnsi="Calibri" w:cs="Calibri"/>
                <w:sz w:val="22"/>
                <w:szCs w:val="22"/>
              </w:rPr>
              <w:lastRenderedPageBreak/>
              <w:t xml:space="preserve">At least 65% pupils entitled to PP achieve expected+ in Literacy at the end of the EYFS. At least 75% pupils entitled to PP achieve expected+ in reading and writing at the end of KS1 At least 78% pupils entitled to PP achieve expected+ at the end of KS2. Pupils make accelerated </w:t>
            </w:r>
            <w:r w:rsidRPr="00CE33C2">
              <w:rPr>
                <w:rFonts w:ascii="Calibri" w:hAnsi="Calibri" w:cs="Calibri"/>
                <w:sz w:val="22"/>
                <w:szCs w:val="22"/>
              </w:rPr>
              <w:lastRenderedPageBreak/>
              <w:t>progress as a result of high quality interventions.</w:t>
            </w:r>
          </w:p>
        </w:tc>
        <w:tc>
          <w:tcPr>
            <w:tcW w:w="6572" w:type="dxa"/>
            <w:tcBorders>
              <w:top w:val="single" w:sz="4" w:space="0" w:color="000000"/>
              <w:left w:val="single" w:sz="4" w:space="0" w:color="000000"/>
              <w:bottom w:val="single" w:sz="4" w:space="0" w:color="000000"/>
              <w:right w:val="single" w:sz="4" w:space="0" w:color="000000"/>
            </w:tcBorders>
          </w:tcPr>
          <w:p w14:paraId="26C08C24" w14:textId="77777777" w:rsidR="00633BC6" w:rsidRPr="00CE33C2" w:rsidRDefault="00633BC6" w:rsidP="00633BC6">
            <w:pPr>
              <w:pStyle w:val="TableRow"/>
              <w:rPr>
                <w:rFonts w:ascii="Calibri" w:hAnsi="Calibri" w:cs="Calibri"/>
                <w:sz w:val="22"/>
                <w:szCs w:val="22"/>
              </w:rPr>
            </w:pPr>
            <w:r w:rsidRPr="00CE33C2">
              <w:rPr>
                <w:rFonts w:ascii="Calibri" w:hAnsi="Calibri" w:cs="Calibri"/>
                <w:sz w:val="22"/>
                <w:szCs w:val="22"/>
              </w:rPr>
              <w:lastRenderedPageBreak/>
              <w:t>The number of children entitled to pupil premium achieving GLD at The King’s (55.6%) exceeds those of FSM6 in Newark (51.2%), Nottinghamshire (48.2%) and nationally (52.1%) but is still lower than those not entitled to PP at The King’s (60%)</w:t>
            </w:r>
          </w:p>
          <w:p w14:paraId="613B5D53" w14:textId="77777777" w:rsidR="00624375" w:rsidRPr="00CE33C2" w:rsidRDefault="00624375" w:rsidP="00624375">
            <w:pPr>
              <w:pStyle w:val="TableRow"/>
              <w:rPr>
                <w:rFonts w:ascii="Calibri" w:hAnsi="Calibri" w:cs="Calibri"/>
                <w:sz w:val="22"/>
                <w:szCs w:val="22"/>
              </w:rPr>
            </w:pPr>
            <w:r w:rsidRPr="00CE33C2">
              <w:rPr>
                <w:rFonts w:ascii="Calibri" w:hAnsi="Calibri" w:cs="Calibri"/>
                <w:sz w:val="22"/>
                <w:szCs w:val="22"/>
              </w:rPr>
              <w:t xml:space="preserve">Monitoring shows that pupils entitled to pupil premium are infrequently reading at home. These children are prioritised and we aim to read with an adult on a 1:1 basis twice weekly. Staffing limitations </w:t>
            </w:r>
            <w:r w:rsidRPr="00CE33C2">
              <w:rPr>
                <w:rFonts w:ascii="Calibri" w:hAnsi="Calibri" w:cs="Calibri"/>
                <w:sz w:val="22"/>
                <w:szCs w:val="22"/>
              </w:rPr>
              <w:lastRenderedPageBreak/>
              <w:t>mean this is not always possible. Volunteers are regularly listening to readers. We are looking to increase our bank of reading volunteers in the coming months, reaching out to the local secondary – Magnus Academy and to our own school community. At the end of 2024 we had three regular reading volunteers – we will have five within the next two months due to our recruitment drive.</w:t>
            </w:r>
          </w:p>
          <w:p w14:paraId="3D7818C3" w14:textId="77777777" w:rsidR="00624375" w:rsidRPr="00CE33C2" w:rsidRDefault="00624375" w:rsidP="00624375">
            <w:pPr>
              <w:pStyle w:val="TableRow"/>
              <w:rPr>
                <w:rFonts w:ascii="Calibri" w:hAnsi="Calibri" w:cs="Calibri"/>
                <w:sz w:val="22"/>
                <w:szCs w:val="22"/>
              </w:rPr>
            </w:pPr>
          </w:p>
          <w:p w14:paraId="435AC1FD" w14:textId="77777777" w:rsidR="00624375" w:rsidRPr="00CE33C2" w:rsidRDefault="00624375" w:rsidP="00624375">
            <w:pPr>
              <w:pStyle w:val="TableRow"/>
              <w:rPr>
                <w:rFonts w:ascii="Calibri" w:hAnsi="Calibri" w:cs="Calibri"/>
                <w:sz w:val="22"/>
                <w:szCs w:val="22"/>
              </w:rPr>
            </w:pPr>
            <w:r w:rsidRPr="00CE33C2">
              <w:rPr>
                <w:rFonts w:ascii="Calibri" w:hAnsi="Calibri" w:cs="Calibri"/>
                <w:sz w:val="22"/>
                <w:szCs w:val="22"/>
              </w:rPr>
              <w:t>The use of Read Write Inc is embedded across the academy and improvements are being seen however the data shows children entitled to pupil premium at the King’s (50) are being outperformed by pupils entitled to pupil premium in Newark (62.8), Nottinghamshire (66.4) and nationally (68.4).</w:t>
            </w:r>
          </w:p>
          <w:p w14:paraId="18326431" w14:textId="603A778D" w:rsidR="008E2F47" w:rsidRDefault="008E2F47" w:rsidP="00624375">
            <w:pPr>
              <w:pStyle w:val="TableRow"/>
              <w:rPr>
                <w:rFonts w:ascii="Calibri" w:hAnsi="Calibri" w:cs="Calibri"/>
                <w:sz w:val="22"/>
                <w:szCs w:val="22"/>
              </w:rPr>
            </w:pPr>
            <w:r w:rsidRPr="00CE33C2">
              <w:rPr>
                <w:rFonts w:ascii="Calibri" w:hAnsi="Calibri" w:cs="Calibri"/>
                <w:sz w:val="22"/>
                <w:szCs w:val="22"/>
              </w:rPr>
              <w:t>Children entitled to pupil premium at The King’s are being outperformed by their peers. At Key Stage 1 this was marginal in Reading and Maths but significant in writing. Language development is still having a negative impact on writing outcomes for this group of learners. Language development is still a crucial target for the following years to improve these early outcomes.</w:t>
            </w:r>
          </w:p>
          <w:tbl>
            <w:tblPr>
              <w:tblStyle w:val="TableGrid"/>
              <w:tblW w:w="0" w:type="auto"/>
              <w:tblInd w:w="57" w:type="dxa"/>
              <w:tblLook w:val="04A0" w:firstRow="1" w:lastRow="0" w:firstColumn="1" w:lastColumn="0" w:noHBand="0" w:noVBand="1"/>
            </w:tblPr>
            <w:tblGrid>
              <w:gridCol w:w="1033"/>
              <w:gridCol w:w="1068"/>
              <w:gridCol w:w="1040"/>
              <w:gridCol w:w="866"/>
              <w:gridCol w:w="866"/>
              <w:gridCol w:w="839"/>
              <w:gridCol w:w="773"/>
            </w:tblGrid>
            <w:tr w:rsidR="00AE4DDD" w:rsidRPr="000A1F2D" w14:paraId="63695BB3" w14:textId="77777777" w:rsidTr="00595DC6">
              <w:trPr>
                <w:trHeight w:val="382"/>
              </w:trPr>
              <w:tc>
                <w:tcPr>
                  <w:tcW w:w="1475" w:type="dxa"/>
                </w:tcPr>
                <w:p w14:paraId="05B85A19" w14:textId="77777777" w:rsidR="00AE4DDD" w:rsidRPr="00AE4DDD" w:rsidRDefault="00AE4DDD" w:rsidP="00AE4DDD">
                  <w:pPr>
                    <w:pStyle w:val="TableRow"/>
                    <w:ind w:left="0"/>
                    <w:rPr>
                      <w:rFonts w:ascii="Calibri" w:hAnsi="Calibri" w:cs="Calibri"/>
                      <w:sz w:val="16"/>
                      <w:szCs w:val="16"/>
                    </w:rPr>
                  </w:pPr>
                </w:p>
              </w:tc>
              <w:tc>
                <w:tcPr>
                  <w:tcW w:w="1504" w:type="dxa"/>
                </w:tcPr>
                <w:p w14:paraId="0C651A25"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All Learners</w:t>
                  </w:r>
                </w:p>
              </w:tc>
              <w:tc>
                <w:tcPr>
                  <w:tcW w:w="1426" w:type="dxa"/>
                </w:tcPr>
                <w:p w14:paraId="1DA8C59A"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All Learners Nat</w:t>
                  </w:r>
                </w:p>
              </w:tc>
              <w:tc>
                <w:tcPr>
                  <w:tcW w:w="1296" w:type="dxa"/>
                </w:tcPr>
                <w:p w14:paraId="6EB15559"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FSM6</w:t>
                  </w:r>
                </w:p>
              </w:tc>
              <w:tc>
                <w:tcPr>
                  <w:tcW w:w="1296" w:type="dxa"/>
                </w:tcPr>
                <w:p w14:paraId="24241E36"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FSM6 LA</w:t>
                  </w:r>
                </w:p>
              </w:tc>
              <w:tc>
                <w:tcPr>
                  <w:tcW w:w="1185" w:type="dxa"/>
                </w:tcPr>
                <w:p w14:paraId="18A7C03B"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Non FSM6</w:t>
                  </w:r>
                </w:p>
                <w:p w14:paraId="76865D44"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The King’s</w:t>
                  </w:r>
                </w:p>
              </w:tc>
              <w:tc>
                <w:tcPr>
                  <w:tcW w:w="1028" w:type="dxa"/>
                </w:tcPr>
                <w:p w14:paraId="1BB4DEA2"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Non FSM6</w:t>
                  </w:r>
                </w:p>
                <w:p w14:paraId="04CDBA1B"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LA</w:t>
                  </w:r>
                </w:p>
              </w:tc>
            </w:tr>
            <w:tr w:rsidR="00AE4DDD" w:rsidRPr="000A1F2D" w14:paraId="23AE413C" w14:textId="77777777" w:rsidTr="00595DC6">
              <w:trPr>
                <w:trHeight w:val="391"/>
              </w:trPr>
              <w:tc>
                <w:tcPr>
                  <w:tcW w:w="1475" w:type="dxa"/>
                </w:tcPr>
                <w:p w14:paraId="5BEFBD37" w14:textId="77777777" w:rsidR="00AE4DDD" w:rsidRPr="00AE4DDD" w:rsidRDefault="00AE4DDD" w:rsidP="00AE4DDD">
                  <w:pPr>
                    <w:pStyle w:val="TableRow"/>
                    <w:ind w:left="0"/>
                    <w:rPr>
                      <w:rFonts w:ascii="Calibri" w:hAnsi="Calibri" w:cs="Calibri"/>
                      <w:sz w:val="16"/>
                      <w:szCs w:val="16"/>
                    </w:rPr>
                  </w:pPr>
                  <w:r w:rsidRPr="00AE4DDD">
                    <w:rPr>
                      <w:rFonts w:ascii="Calibri" w:hAnsi="Calibri" w:cs="Calibri"/>
                      <w:sz w:val="16"/>
                      <w:szCs w:val="16"/>
                    </w:rPr>
                    <w:t>Reading KS1</w:t>
                  </w:r>
                </w:p>
              </w:tc>
              <w:tc>
                <w:tcPr>
                  <w:tcW w:w="1504" w:type="dxa"/>
                </w:tcPr>
                <w:p w14:paraId="173AC2FF"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52.5</w:t>
                  </w:r>
                </w:p>
              </w:tc>
              <w:tc>
                <w:tcPr>
                  <w:tcW w:w="1426" w:type="dxa"/>
                </w:tcPr>
                <w:p w14:paraId="44576636"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71</w:t>
                  </w:r>
                </w:p>
              </w:tc>
              <w:tc>
                <w:tcPr>
                  <w:tcW w:w="1296" w:type="dxa"/>
                </w:tcPr>
                <w:p w14:paraId="67F8FA95" w14:textId="77777777" w:rsidR="00AE4DDD" w:rsidRPr="00AE4DDD" w:rsidRDefault="00AE4DDD" w:rsidP="00AE4DDD">
                  <w:pPr>
                    <w:pStyle w:val="TableRow"/>
                    <w:ind w:left="0"/>
                    <w:jc w:val="center"/>
                    <w:rPr>
                      <w:rFonts w:ascii="Calibri" w:hAnsi="Calibri" w:cs="Calibri"/>
                      <w:b/>
                      <w:bCs/>
                      <w:sz w:val="16"/>
                      <w:szCs w:val="16"/>
                    </w:rPr>
                  </w:pPr>
                  <w:r w:rsidRPr="00AE4DDD">
                    <w:rPr>
                      <w:rFonts w:ascii="Calibri" w:hAnsi="Calibri" w:cs="Calibri"/>
                      <w:b/>
                      <w:bCs/>
                      <w:color w:val="FFC000"/>
                      <w:sz w:val="16"/>
                      <w:szCs w:val="16"/>
                    </w:rPr>
                    <w:t>52.2</w:t>
                  </w:r>
                </w:p>
              </w:tc>
              <w:tc>
                <w:tcPr>
                  <w:tcW w:w="1296" w:type="dxa"/>
                </w:tcPr>
                <w:p w14:paraId="55B22595"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56.5</w:t>
                  </w:r>
                </w:p>
              </w:tc>
              <w:tc>
                <w:tcPr>
                  <w:tcW w:w="1185" w:type="dxa"/>
                </w:tcPr>
                <w:p w14:paraId="2E589DD8"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52.9</w:t>
                  </w:r>
                </w:p>
              </w:tc>
              <w:tc>
                <w:tcPr>
                  <w:tcW w:w="1028" w:type="dxa"/>
                </w:tcPr>
                <w:p w14:paraId="18AC43B5"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77.2</w:t>
                  </w:r>
                </w:p>
              </w:tc>
            </w:tr>
            <w:tr w:rsidR="00AE4DDD" w:rsidRPr="000A1F2D" w14:paraId="5D1FAF76" w14:textId="77777777" w:rsidTr="00595DC6">
              <w:trPr>
                <w:trHeight w:val="382"/>
              </w:trPr>
              <w:tc>
                <w:tcPr>
                  <w:tcW w:w="1475" w:type="dxa"/>
                </w:tcPr>
                <w:p w14:paraId="6F096366" w14:textId="77777777" w:rsidR="00AE4DDD" w:rsidRPr="00AE4DDD" w:rsidRDefault="00AE4DDD" w:rsidP="00AE4DDD">
                  <w:pPr>
                    <w:pStyle w:val="TableRow"/>
                    <w:ind w:left="0"/>
                    <w:rPr>
                      <w:rFonts w:ascii="Calibri" w:hAnsi="Calibri" w:cs="Calibri"/>
                      <w:sz w:val="16"/>
                      <w:szCs w:val="16"/>
                    </w:rPr>
                  </w:pPr>
                  <w:r w:rsidRPr="00AE4DDD">
                    <w:rPr>
                      <w:rFonts w:ascii="Calibri" w:hAnsi="Calibri" w:cs="Calibri"/>
                      <w:sz w:val="16"/>
                      <w:szCs w:val="16"/>
                    </w:rPr>
                    <w:t>Writing KS1</w:t>
                  </w:r>
                </w:p>
              </w:tc>
              <w:tc>
                <w:tcPr>
                  <w:tcW w:w="1504" w:type="dxa"/>
                </w:tcPr>
                <w:p w14:paraId="563740A1"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42.5</w:t>
                  </w:r>
                </w:p>
              </w:tc>
              <w:tc>
                <w:tcPr>
                  <w:tcW w:w="1426" w:type="dxa"/>
                </w:tcPr>
                <w:p w14:paraId="20B75501"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68</w:t>
                  </w:r>
                </w:p>
              </w:tc>
              <w:tc>
                <w:tcPr>
                  <w:tcW w:w="1296" w:type="dxa"/>
                </w:tcPr>
                <w:p w14:paraId="3444CC26" w14:textId="77777777" w:rsidR="00AE4DDD" w:rsidRPr="00AE4DDD" w:rsidRDefault="00AE4DDD" w:rsidP="00AE4DDD">
                  <w:pPr>
                    <w:pStyle w:val="TableRow"/>
                    <w:ind w:left="0"/>
                    <w:jc w:val="center"/>
                    <w:rPr>
                      <w:rFonts w:ascii="Calibri" w:hAnsi="Calibri" w:cs="Calibri"/>
                      <w:b/>
                      <w:bCs/>
                      <w:sz w:val="16"/>
                      <w:szCs w:val="16"/>
                    </w:rPr>
                  </w:pPr>
                  <w:r w:rsidRPr="00AE4DDD">
                    <w:rPr>
                      <w:rFonts w:ascii="Calibri" w:hAnsi="Calibri" w:cs="Calibri"/>
                      <w:b/>
                      <w:bCs/>
                      <w:color w:val="FF0000"/>
                      <w:sz w:val="16"/>
                      <w:szCs w:val="16"/>
                    </w:rPr>
                    <w:t>34.8</w:t>
                  </w:r>
                </w:p>
              </w:tc>
              <w:tc>
                <w:tcPr>
                  <w:tcW w:w="1296" w:type="dxa"/>
                </w:tcPr>
                <w:p w14:paraId="4E589DE7"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49</w:t>
                  </w:r>
                </w:p>
              </w:tc>
              <w:tc>
                <w:tcPr>
                  <w:tcW w:w="1185" w:type="dxa"/>
                </w:tcPr>
                <w:p w14:paraId="38AE876D"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52.9</w:t>
                  </w:r>
                </w:p>
              </w:tc>
              <w:tc>
                <w:tcPr>
                  <w:tcW w:w="1028" w:type="dxa"/>
                </w:tcPr>
                <w:p w14:paraId="1A8E38A4"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69.5</w:t>
                  </w:r>
                </w:p>
              </w:tc>
            </w:tr>
            <w:tr w:rsidR="00AE4DDD" w:rsidRPr="000A1F2D" w14:paraId="0910D25D" w14:textId="77777777" w:rsidTr="00595DC6">
              <w:trPr>
                <w:trHeight w:val="382"/>
              </w:trPr>
              <w:tc>
                <w:tcPr>
                  <w:tcW w:w="1475" w:type="dxa"/>
                </w:tcPr>
                <w:p w14:paraId="239B3170" w14:textId="77777777" w:rsidR="00AE4DDD" w:rsidRPr="00AE4DDD" w:rsidRDefault="00AE4DDD" w:rsidP="00AE4DDD">
                  <w:pPr>
                    <w:pStyle w:val="TableRow"/>
                    <w:ind w:left="0"/>
                    <w:rPr>
                      <w:rFonts w:ascii="Calibri" w:hAnsi="Calibri" w:cs="Calibri"/>
                      <w:sz w:val="16"/>
                      <w:szCs w:val="16"/>
                    </w:rPr>
                  </w:pPr>
                  <w:r w:rsidRPr="00AE4DDD">
                    <w:rPr>
                      <w:rFonts w:ascii="Calibri" w:hAnsi="Calibri" w:cs="Calibri"/>
                      <w:sz w:val="16"/>
                      <w:szCs w:val="16"/>
                    </w:rPr>
                    <w:t>Maths KS1</w:t>
                  </w:r>
                </w:p>
              </w:tc>
              <w:tc>
                <w:tcPr>
                  <w:tcW w:w="1504" w:type="dxa"/>
                </w:tcPr>
                <w:p w14:paraId="13C45AED"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55</w:t>
                  </w:r>
                </w:p>
              </w:tc>
              <w:tc>
                <w:tcPr>
                  <w:tcW w:w="1426" w:type="dxa"/>
                </w:tcPr>
                <w:p w14:paraId="6EE0E347"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72</w:t>
                  </w:r>
                </w:p>
              </w:tc>
              <w:tc>
                <w:tcPr>
                  <w:tcW w:w="1296" w:type="dxa"/>
                </w:tcPr>
                <w:p w14:paraId="447C08F0" w14:textId="77777777" w:rsidR="00AE4DDD" w:rsidRPr="00AE4DDD" w:rsidRDefault="00AE4DDD" w:rsidP="00AE4DDD">
                  <w:pPr>
                    <w:pStyle w:val="TableRow"/>
                    <w:ind w:left="0"/>
                    <w:jc w:val="center"/>
                    <w:rPr>
                      <w:rFonts w:ascii="Calibri" w:hAnsi="Calibri" w:cs="Calibri"/>
                      <w:b/>
                      <w:bCs/>
                      <w:sz w:val="16"/>
                      <w:szCs w:val="16"/>
                    </w:rPr>
                  </w:pPr>
                  <w:r w:rsidRPr="00AE4DDD">
                    <w:rPr>
                      <w:rFonts w:ascii="Calibri" w:hAnsi="Calibri" w:cs="Calibri"/>
                      <w:b/>
                      <w:bCs/>
                      <w:color w:val="FFC000"/>
                      <w:sz w:val="16"/>
                      <w:szCs w:val="16"/>
                    </w:rPr>
                    <w:t>52.2</w:t>
                  </w:r>
                </w:p>
              </w:tc>
              <w:tc>
                <w:tcPr>
                  <w:tcW w:w="1296" w:type="dxa"/>
                </w:tcPr>
                <w:p w14:paraId="656FB9A0"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58.3</w:t>
                  </w:r>
                </w:p>
              </w:tc>
              <w:tc>
                <w:tcPr>
                  <w:tcW w:w="1185" w:type="dxa"/>
                </w:tcPr>
                <w:p w14:paraId="0A31122F"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58.8</w:t>
                  </w:r>
                </w:p>
              </w:tc>
              <w:tc>
                <w:tcPr>
                  <w:tcW w:w="1028" w:type="dxa"/>
                </w:tcPr>
                <w:p w14:paraId="17934D7F" w14:textId="77777777" w:rsidR="00AE4DDD" w:rsidRPr="00AE4DDD" w:rsidRDefault="00AE4DDD" w:rsidP="00AE4DDD">
                  <w:pPr>
                    <w:pStyle w:val="TableRow"/>
                    <w:ind w:left="0"/>
                    <w:jc w:val="center"/>
                    <w:rPr>
                      <w:rFonts w:ascii="Calibri" w:hAnsi="Calibri" w:cs="Calibri"/>
                      <w:sz w:val="16"/>
                      <w:szCs w:val="16"/>
                    </w:rPr>
                  </w:pPr>
                  <w:r w:rsidRPr="00AE4DDD">
                    <w:rPr>
                      <w:rFonts w:ascii="Calibri" w:hAnsi="Calibri" w:cs="Calibri"/>
                      <w:sz w:val="16"/>
                      <w:szCs w:val="16"/>
                    </w:rPr>
                    <w:t>78.6</w:t>
                  </w:r>
                </w:p>
              </w:tc>
            </w:tr>
          </w:tbl>
          <w:p w14:paraId="51109F33" w14:textId="77777777" w:rsidR="00AE4DDD" w:rsidRPr="00CE33C2" w:rsidRDefault="00AE4DDD" w:rsidP="00624375">
            <w:pPr>
              <w:pStyle w:val="TableRow"/>
              <w:rPr>
                <w:rFonts w:ascii="Calibri" w:hAnsi="Calibri" w:cs="Calibri"/>
                <w:sz w:val="22"/>
                <w:szCs w:val="22"/>
              </w:rPr>
            </w:pPr>
          </w:p>
          <w:tbl>
            <w:tblPr>
              <w:tblStyle w:val="TableGrid"/>
              <w:tblW w:w="0" w:type="auto"/>
              <w:tblInd w:w="57" w:type="dxa"/>
              <w:tblLook w:val="04A0" w:firstRow="1" w:lastRow="0" w:firstColumn="1" w:lastColumn="0" w:noHBand="0" w:noVBand="1"/>
            </w:tblPr>
            <w:tblGrid>
              <w:gridCol w:w="817"/>
              <w:gridCol w:w="856"/>
              <w:gridCol w:w="854"/>
              <w:gridCol w:w="659"/>
              <w:gridCol w:w="659"/>
              <w:gridCol w:w="672"/>
              <w:gridCol w:w="650"/>
            </w:tblGrid>
            <w:tr w:rsidR="008E2F47" w:rsidRPr="00CE33C2" w14:paraId="57011D14" w14:textId="77777777" w:rsidTr="00595DC6">
              <w:trPr>
                <w:trHeight w:val="382"/>
              </w:trPr>
              <w:tc>
                <w:tcPr>
                  <w:tcW w:w="1475" w:type="dxa"/>
                </w:tcPr>
                <w:p w14:paraId="1BBCC81B" w14:textId="77777777" w:rsidR="008E2F47" w:rsidRPr="00CE33C2" w:rsidRDefault="008E2F47" w:rsidP="008E2F47">
                  <w:pPr>
                    <w:pStyle w:val="TableRow"/>
                    <w:ind w:left="0"/>
                    <w:rPr>
                      <w:rFonts w:ascii="Calibri" w:hAnsi="Calibri" w:cs="Calibri"/>
                      <w:sz w:val="16"/>
                      <w:szCs w:val="16"/>
                    </w:rPr>
                  </w:pPr>
                </w:p>
              </w:tc>
              <w:tc>
                <w:tcPr>
                  <w:tcW w:w="1504" w:type="dxa"/>
                </w:tcPr>
                <w:p w14:paraId="3455676F"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All Learners</w:t>
                  </w:r>
                </w:p>
              </w:tc>
              <w:tc>
                <w:tcPr>
                  <w:tcW w:w="1426" w:type="dxa"/>
                </w:tcPr>
                <w:p w14:paraId="4B6DECEF"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All Learners Nat</w:t>
                  </w:r>
                </w:p>
              </w:tc>
              <w:tc>
                <w:tcPr>
                  <w:tcW w:w="1296" w:type="dxa"/>
                </w:tcPr>
                <w:p w14:paraId="53275DF9"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FSM6</w:t>
                  </w:r>
                </w:p>
              </w:tc>
              <w:tc>
                <w:tcPr>
                  <w:tcW w:w="1296" w:type="dxa"/>
                </w:tcPr>
                <w:p w14:paraId="284CE86F"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FSM6 LA</w:t>
                  </w:r>
                </w:p>
              </w:tc>
              <w:tc>
                <w:tcPr>
                  <w:tcW w:w="1185" w:type="dxa"/>
                </w:tcPr>
                <w:p w14:paraId="297DAF09"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Non FSM6</w:t>
                  </w:r>
                </w:p>
                <w:p w14:paraId="55B0B566"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The King’s</w:t>
                  </w:r>
                </w:p>
              </w:tc>
              <w:tc>
                <w:tcPr>
                  <w:tcW w:w="1028" w:type="dxa"/>
                </w:tcPr>
                <w:p w14:paraId="772BEEAE"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Non FSM6</w:t>
                  </w:r>
                </w:p>
                <w:p w14:paraId="6B70873D"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LA</w:t>
                  </w:r>
                </w:p>
              </w:tc>
            </w:tr>
            <w:tr w:rsidR="008E2F47" w:rsidRPr="00CE33C2" w14:paraId="7299AC2A" w14:textId="77777777" w:rsidTr="00595DC6">
              <w:trPr>
                <w:trHeight w:val="391"/>
              </w:trPr>
              <w:tc>
                <w:tcPr>
                  <w:tcW w:w="1475" w:type="dxa"/>
                </w:tcPr>
                <w:p w14:paraId="60C57416" w14:textId="77777777" w:rsidR="008E2F47" w:rsidRPr="00CE33C2" w:rsidRDefault="008E2F47" w:rsidP="008E2F47">
                  <w:pPr>
                    <w:pStyle w:val="TableRow"/>
                    <w:ind w:left="0"/>
                    <w:rPr>
                      <w:rFonts w:ascii="Calibri" w:hAnsi="Calibri" w:cs="Calibri"/>
                      <w:sz w:val="16"/>
                      <w:szCs w:val="16"/>
                    </w:rPr>
                  </w:pPr>
                  <w:r w:rsidRPr="00CE33C2">
                    <w:rPr>
                      <w:rFonts w:ascii="Calibri" w:hAnsi="Calibri" w:cs="Calibri"/>
                      <w:sz w:val="16"/>
                      <w:szCs w:val="16"/>
                    </w:rPr>
                    <w:t>Reading KS2</w:t>
                  </w:r>
                </w:p>
              </w:tc>
              <w:tc>
                <w:tcPr>
                  <w:tcW w:w="1504" w:type="dxa"/>
                </w:tcPr>
                <w:p w14:paraId="12035872"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50</w:t>
                  </w:r>
                </w:p>
              </w:tc>
              <w:tc>
                <w:tcPr>
                  <w:tcW w:w="1426" w:type="dxa"/>
                </w:tcPr>
                <w:p w14:paraId="2564C8D6"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74</w:t>
                  </w:r>
                </w:p>
              </w:tc>
              <w:tc>
                <w:tcPr>
                  <w:tcW w:w="1296" w:type="dxa"/>
                </w:tcPr>
                <w:p w14:paraId="26796ECB" w14:textId="77777777" w:rsidR="008E2F47" w:rsidRPr="00CE33C2" w:rsidRDefault="008E2F47" w:rsidP="008E2F47">
                  <w:pPr>
                    <w:pStyle w:val="TableRow"/>
                    <w:ind w:left="0"/>
                    <w:jc w:val="center"/>
                    <w:rPr>
                      <w:rFonts w:ascii="Calibri" w:hAnsi="Calibri" w:cs="Calibri"/>
                      <w:b/>
                      <w:bCs/>
                      <w:sz w:val="16"/>
                      <w:szCs w:val="16"/>
                    </w:rPr>
                  </w:pPr>
                  <w:r w:rsidRPr="00CE33C2">
                    <w:rPr>
                      <w:rFonts w:ascii="Calibri" w:hAnsi="Calibri" w:cs="Calibri"/>
                      <w:b/>
                      <w:bCs/>
                      <w:color w:val="FF0000"/>
                      <w:sz w:val="16"/>
                      <w:szCs w:val="16"/>
                    </w:rPr>
                    <w:t>40</w:t>
                  </w:r>
                </w:p>
              </w:tc>
              <w:tc>
                <w:tcPr>
                  <w:tcW w:w="1296" w:type="dxa"/>
                </w:tcPr>
                <w:p w14:paraId="1B9C2C4D"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59.7</w:t>
                  </w:r>
                </w:p>
              </w:tc>
              <w:tc>
                <w:tcPr>
                  <w:tcW w:w="1185" w:type="dxa"/>
                </w:tcPr>
                <w:p w14:paraId="515C558C"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57.9</w:t>
                  </w:r>
                </w:p>
              </w:tc>
              <w:tc>
                <w:tcPr>
                  <w:tcW w:w="1028" w:type="dxa"/>
                </w:tcPr>
                <w:p w14:paraId="5E4AB1F3"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79.2</w:t>
                  </w:r>
                </w:p>
              </w:tc>
            </w:tr>
            <w:tr w:rsidR="008E2F47" w:rsidRPr="00CE33C2" w14:paraId="7E932575" w14:textId="77777777" w:rsidTr="00595DC6">
              <w:trPr>
                <w:trHeight w:val="382"/>
              </w:trPr>
              <w:tc>
                <w:tcPr>
                  <w:tcW w:w="1475" w:type="dxa"/>
                </w:tcPr>
                <w:p w14:paraId="0C6EAEE3" w14:textId="77777777" w:rsidR="008E2F47" w:rsidRPr="00CE33C2" w:rsidRDefault="008E2F47" w:rsidP="008E2F47">
                  <w:pPr>
                    <w:pStyle w:val="TableRow"/>
                    <w:ind w:left="0"/>
                    <w:rPr>
                      <w:rFonts w:ascii="Calibri" w:hAnsi="Calibri" w:cs="Calibri"/>
                      <w:sz w:val="16"/>
                      <w:szCs w:val="16"/>
                    </w:rPr>
                  </w:pPr>
                  <w:r w:rsidRPr="00CE33C2">
                    <w:rPr>
                      <w:rFonts w:ascii="Calibri" w:hAnsi="Calibri" w:cs="Calibri"/>
                      <w:sz w:val="16"/>
                      <w:szCs w:val="16"/>
                    </w:rPr>
                    <w:t>Writing KS2</w:t>
                  </w:r>
                </w:p>
              </w:tc>
              <w:tc>
                <w:tcPr>
                  <w:tcW w:w="1504" w:type="dxa"/>
                </w:tcPr>
                <w:p w14:paraId="0D37F609"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76.5</w:t>
                  </w:r>
                </w:p>
              </w:tc>
              <w:tc>
                <w:tcPr>
                  <w:tcW w:w="1426" w:type="dxa"/>
                </w:tcPr>
                <w:p w14:paraId="36E67A42"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72</w:t>
                  </w:r>
                </w:p>
              </w:tc>
              <w:tc>
                <w:tcPr>
                  <w:tcW w:w="1296" w:type="dxa"/>
                </w:tcPr>
                <w:p w14:paraId="42ECF84A" w14:textId="77777777" w:rsidR="008E2F47" w:rsidRPr="00CE33C2" w:rsidRDefault="008E2F47" w:rsidP="008E2F47">
                  <w:pPr>
                    <w:pStyle w:val="TableRow"/>
                    <w:ind w:left="0"/>
                    <w:jc w:val="center"/>
                    <w:rPr>
                      <w:rFonts w:ascii="Calibri" w:hAnsi="Calibri" w:cs="Calibri"/>
                      <w:b/>
                      <w:bCs/>
                      <w:sz w:val="16"/>
                      <w:szCs w:val="16"/>
                    </w:rPr>
                  </w:pPr>
                  <w:r w:rsidRPr="00CE33C2">
                    <w:rPr>
                      <w:rFonts w:ascii="Calibri" w:hAnsi="Calibri" w:cs="Calibri"/>
                      <w:b/>
                      <w:bCs/>
                      <w:color w:val="00B050"/>
                      <w:sz w:val="16"/>
                      <w:szCs w:val="16"/>
                    </w:rPr>
                    <w:t>60</w:t>
                  </w:r>
                </w:p>
              </w:tc>
              <w:tc>
                <w:tcPr>
                  <w:tcW w:w="1296" w:type="dxa"/>
                </w:tcPr>
                <w:p w14:paraId="17FDFF35"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57.4</w:t>
                  </w:r>
                </w:p>
              </w:tc>
              <w:tc>
                <w:tcPr>
                  <w:tcW w:w="1185" w:type="dxa"/>
                </w:tcPr>
                <w:p w14:paraId="0634634F"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89.5</w:t>
                  </w:r>
                </w:p>
              </w:tc>
              <w:tc>
                <w:tcPr>
                  <w:tcW w:w="1028" w:type="dxa"/>
                </w:tcPr>
                <w:p w14:paraId="22D27304"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77.9</w:t>
                  </w:r>
                </w:p>
              </w:tc>
            </w:tr>
            <w:tr w:rsidR="008E2F47" w:rsidRPr="00CE33C2" w14:paraId="5CAFD697" w14:textId="77777777" w:rsidTr="00595DC6">
              <w:trPr>
                <w:trHeight w:val="382"/>
              </w:trPr>
              <w:tc>
                <w:tcPr>
                  <w:tcW w:w="1475" w:type="dxa"/>
                </w:tcPr>
                <w:p w14:paraId="6E1104DE" w14:textId="77777777" w:rsidR="008E2F47" w:rsidRPr="00CE33C2" w:rsidRDefault="008E2F47" w:rsidP="008E2F47">
                  <w:pPr>
                    <w:pStyle w:val="TableRow"/>
                    <w:ind w:left="0"/>
                    <w:rPr>
                      <w:rFonts w:ascii="Calibri" w:hAnsi="Calibri" w:cs="Calibri"/>
                      <w:sz w:val="16"/>
                      <w:szCs w:val="16"/>
                    </w:rPr>
                  </w:pPr>
                  <w:r w:rsidRPr="00CE33C2">
                    <w:rPr>
                      <w:rFonts w:ascii="Calibri" w:hAnsi="Calibri" w:cs="Calibri"/>
                      <w:sz w:val="16"/>
                      <w:szCs w:val="16"/>
                    </w:rPr>
                    <w:t>Maths KS2</w:t>
                  </w:r>
                </w:p>
              </w:tc>
              <w:tc>
                <w:tcPr>
                  <w:tcW w:w="1504" w:type="dxa"/>
                </w:tcPr>
                <w:p w14:paraId="1DF4B329"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35.3</w:t>
                  </w:r>
                </w:p>
              </w:tc>
              <w:tc>
                <w:tcPr>
                  <w:tcW w:w="1426" w:type="dxa"/>
                </w:tcPr>
                <w:p w14:paraId="4F89DEC5"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73</w:t>
                  </w:r>
                </w:p>
              </w:tc>
              <w:tc>
                <w:tcPr>
                  <w:tcW w:w="1296" w:type="dxa"/>
                </w:tcPr>
                <w:p w14:paraId="77341237" w14:textId="77777777" w:rsidR="008E2F47" w:rsidRPr="00CE33C2" w:rsidRDefault="008E2F47" w:rsidP="008E2F47">
                  <w:pPr>
                    <w:pStyle w:val="TableRow"/>
                    <w:ind w:left="0"/>
                    <w:jc w:val="center"/>
                    <w:rPr>
                      <w:rFonts w:ascii="Calibri" w:hAnsi="Calibri" w:cs="Calibri"/>
                      <w:b/>
                      <w:bCs/>
                      <w:sz w:val="16"/>
                      <w:szCs w:val="16"/>
                    </w:rPr>
                  </w:pPr>
                  <w:r w:rsidRPr="00CE33C2">
                    <w:rPr>
                      <w:rFonts w:ascii="Calibri" w:hAnsi="Calibri" w:cs="Calibri"/>
                      <w:b/>
                      <w:bCs/>
                      <w:color w:val="FF0000"/>
                      <w:sz w:val="16"/>
                      <w:szCs w:val="16"/>
                    </w:rPr>
                    <w:t>20</w:t>
                  </w:r>
                </w:p>
              </w:tc>
              <w:tc>
                <w:tcPr>
                  <w:tcW w:w="1296" w:type="dxa"/>
                </w:tcPr>
                <w:p w14:paraId="23ABC257"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58.8</w:t>
                  </w:r>
                </w:p>
              </w:tc>
              <w:tc>
                <w:tcPr>
                  <w:tcW w:w="1185" w:type="dxa"/>
                </w:tcPr>
                <w:p w14:paraId="0F4B4EE9"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47.4</w:t>
                  </w:r>
                </w:p>
              </w:tc>
              <w:tc>
                <w:tcPr>
                  <w:tcW w:w="1028" w:type="dxa"/>
                </w:tcPr>
                <w:p w14:paraId="571F092D" w14:textId="77777777" w:rsidR="008E2F47" w:rsidRPr="00CE33C2" w:rsidRDefault="008E2F47" w:rsidP="008E2F47">
                  <w:pPr>
                    <w:pStyle w:val="TableRow"/>
                    <w:ind w:left="0"/>
                    <w:jc w:val="center"/>
                    <w:rPr>
                      <w:rFonts w:ascii="Calibri" w:hAnsi="Calibri" w:cs="Calibri"/>
                      <w:sz w:val="16"/>
                      <w:szCs w:val="16"/>
                    </w:rPr>
                  </w:pPr>
                  <w:r w:rsidRPr="00CE33C2">
                    <w:rPr>
                      <w:rFonts w:ascii="Calibri" w:hAnsi="Calibri" w:cs="Calibri"/>
                      <w:sz w:val="16"/>
                      <w:szCs w:val="16"/>
                    </w:rPr>
                    <w:t>79.6</w:t>
                  </w:r>
                </w:p>
              </w:tc>
            </w:tr>
          </w:tbl>
          <w:p w14:paraId="70D2563E" w14:textId="413D147C" w:rsidR="00211B73" w:rsidRPr="00CE33C2" w:rsidRDefault="00211B73" w:rsidP="00AE4DDD">
            <w:pPr>
              <w:pStyle w:val="TableRowCentered"/>
              <w:ind w:left="0"/>
              <w:jc w:val="left"/>
              <w:rPr>
                <w:rFonts w:ascii="Calibri" w:hAnsi="Calibri" w:cs="Calibri"/>
                <w:sz w:val="22"/>
                <w:szCs w:val="22"/>
              </w:rPr>
            </w:pPr>
          </w:p>
        </w:tc>
      </w:tr>
      <w:tr w:rsidR="00211B73" w:rsidRPr="00CE33C2" w14:paraId="2D0291A7"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3F56A" w14:textId="77777777" w:rsidR="00B267CF" w:rsidRPr="00B267CF" w:rsidRDefault="00B267CF" w:rsidP="00B267CF">
            <w:pPr>
              <w:pStyle w:val="TableRow"/>
              <w:rPr>
                <w:rFonts w:ascii="Calibri" w:hAnsi="Calibri" w:cs="Calibri"/>
                <w:sz w:val="22"/>
                <w:szCs w:val="22"/>
              </w:rPr>
            </w:pPr>
            <w:r w:rsidRPr="00B267CF">
              <w:rPr>
                <w:rFonts w:ascii="Calibri" w:hAnsi="Calibri" w:cs="Calibri"/>
                <w:sz w:val="22"/>
                <w:szCs w:val="22"/>
              </w:rPr>
              <w:lastRenderedPageBreak/>
              <w:t>Ensure all pupils entitled to PP have good</w:t>
            </w:r>
          </w:p>
          <w:p w14:paraId="438A9E7A" w14:textId="77777777" w:rsidR="00B267CF" w:rsidRPr="00B267CF" w:rsidRDefault="00B267CF" w:rsidP="00B267CF">
            <w:pPr>
              <w:pStyle w:val="TableRow"/>
              <w:rPr>
                <w:rFonts w:ascii="Calibri" w:hAnsi="Calibri" w:cs="Calibri"/>
                <w:sz w:val="22"/>
                <w:szCs w:val="22"/>
              </w:rPr>
            </w:pPr>
            <w:r w:rsidRPr="00B267CF">
              <w:rPr>
                <w:rFonts w:ascii="Calibri" w:hAnsi="Calibri" w:cs="Calibri"/>
                <w:sz w:val="22"/>
                <w:szCs w:val="22"/>
              </w:rPr>
              <w:t>mental health and well-being, including the</w:t>
            </w:r>
          </w:p>
          <w:p w14:paraId="37EE8649" w14:textId="77777777" w:rsidR="00B267CF" w:rsidRPr="00B267CF" w:rsidRDefault="00B267CF" w:rsidP="00B267CF">
            <w:pPr>
              <w:pStyle w:val="TableRow"/>
              <w:rPr>
                <w:rFonts w:ascii="Calibri" w:hAnsi="Calibri" w:cs="Calibri"/>
                <w:sz w:val="22"/>
                <w:szCs w:val="22"/>
              </w:rPr>
            </w:pPr>
            <w:r w:rsidRPr="00B267CF">
              <w:rPr>
                <w:rFonts w:ascii="Calibri" w:hAnsi="Calibri" w:cs="Calibri"/>
                <w:sz w:val="22"/>
                <w:szCs w:val="22"/>
              </w:rPr>
              <w:t>vocabulary to express themselves and their</w:t>
            </w:r>
          </w:p>
          <w:p w14:paraId="54A281CC" w14:textId="77777777" w:rsidR="00B267CF" w:rsidRPr="00B267CF" w:rsidRDefault="00B267CF" w:rsidP="00B267CF">
            <w:pPr>
              <w:pStyle w:val="TableRow"/>
              <w:rPr>
                <w:rFonts w:ascii="Calibri" w:hAnsi="Calibri" w:cs="Calibri"/>
                <w:sz w:val="22"/>
                <w:szCs w:val="22"/>
              </w:rPr>
            </w:pPr>
            <w:r w:rsidRPr="00B267CF">
              <w:rPr>
                <w:rFonts w:ascii="Calibri" w:hAnsi="Calibri" w:cs="Calibri"/>
                <w:sz w:val="22"/>
                <w:szCs w:val="22"/>
              </w:rPr>
              <w:t>needs when things are difficult for them.</w:t>
            </w:r>
          </w:p>
          <w:p w14:paraId="48574B1C" w14:textId="72502EE5" w:rsidR="00211B73" w:rsidRPr="00CE33C2" w:rsidRDefault="00211B73" w:rsidP="00595DC6">
            <w:pPr>
              <w:pStyle w:val="TableRow"/>
              <w:rPr>
                <w:rFonts w:ascii="Calibri" w:hAnsi="Calibri" w:cs="Calibri"/>
                <w:sz w:val="22"/>
                <w:szCs w:val="22"/>
              </w:rPr>
            </w:pP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F2367" w14:textId="6AE37949" w:rsidR="00211B73" w:rsidRPr="00CE33C2" w:rsidRDefault="004319A8" w:rsidP="00595DC6">
            <w:pPr>
              <w:pStyle w:val="TableRowCentered"/>
              <w:jc w:val="left"/>
              <w:rPr>
                <w:rFonts w:ascii="Calibri" w:hAnsi="Calibri" w:cs="Calibri"/>
                <w:sz w:val="22"/>
                <w:szCs w:val="22"/>
              </w:rPr>
            </w:pPr>
            <w:r w:rsidRPr="00CE33C2">
              <w:rPr>
                <w:rFonts w:ascii="Calibri" w:hAnsi="Calibri" w:cs="Calibri"/>
                <w:sz w:val="22"/>
                <w:szCs w:val="22"/>
              </w:rPr>
              <w:t>Motional data for pupils entitled to PP demonstrates increased well-being and resilience. Intervention evaluations show that emotional needs have been met. Pupils are able to access learning.</w:t>
            </w:r>
          </w:p>
        </w:tc>
        <w:tc>
          <w:tcPr>
            <w:tcW w:w="6572" w:type="dxa"/>
            <w:tcBorders>
              <w:top w:val="single" w:sz="4" w:space="0" w:color="000000"/>
              <w:left w:val="single" w:sz="4" w:space="0" w:color="000000"/>
              <w:bottom w:val="single" w:sz="4" w:space="0" w:color="000000"/>
              <w:right w:val="single" w:sz="4" w:space="0" w:color="000000"/>
            </w:tcBorders>
          </w:tcPr>
          <w:p w14:paraId="744182EE" w14:textId="749C803B" w:rsidR="003349FC" w:rsidRPr="00CE33C2" w:rsidRDefault="00800BFB" w:rsidP="00A839E3">
            <w:pPr>
              <w:pStyle w:val="TableRow"/>
              <w:rPr>
                <w:rFonts w:ascii="Calibri" w:hAnsi="Calibri" w:cs="Calibri"/>
                <w:sz w:val="22"/>
                <w:szCs w:val="22"/>
              </w:rPr>
            </w:pPr>
            <w:r w:rsidRPr="00CE33C2">
              <w:rPr>
                <w:rFonts w:ascii="Calibri" w:hAnsi="Calibri" w:cs="Calibri"/>
                <w:sz w:val="22"/>
                <w:szCs w:val="22"/>
              </w:rPr>
              <w:t>Motional tracking evidences that all pupils (except 2</w:t>
            </w:r>
            <w:r w:rsidR="001C229E" w:rsidRPr="00CE33C2">
              <w:rPr>
                <w:rFonts w:ascii="Calibri" w:hAnsi="Calibri" w:cs="Calibri"/>
                <w:sz w:val="22"/>
                <w:szCs w:val="22"/>
              </w:rPr>
              <w:t xml:space="preserve">) </w:t>
            </w:r>
            <w:r w:rsidRPr="00CE33C2">
              <w:rPr>
                <w:rFonts w:ascii="Calibri" w:hAnsi="Calibri" w:cs="Calibri"/>
                <w:sz w:val="22"/>
                <w:szCs w:val="22"/>
              </w:rPr>
              <w:t>have made significant improvements in their well-being, regulation</w:t>
            </w:r>
            <w:r w:rsidR="001C229E" w:rsidRPr="00CE33C2">
              <w:rPr>
                <w:rFonts w:ascii="Calibri" w:hAnsi="Calibri" w:cs="Calibri"/>
                <w:sz w:val="22"/>
                <w:szCs w:val="22"/>
              </w:rPr>
              <w:t xml:space="preserve"> skills and </w:t>
            </w:r>
            <w:r w:rsidR="000F1AE5" w:rsidRPr="00CE33C2">
              <w:rPr>
                <w:rFonts w:ascii="Calibri" w:hAnsi="Calibri" w:cs="Calibri"/>
                <w:sz w:val="22"/>
                <w:szCs w:val="22"/>
              </w:rPr>
              <w:t>behaviour around the academy has improved significantly as a result of SEMH interventions</w:t>
            </w:r>
            <w:r w:rsidR="009077A3" w:rsidRPr="00CE33C2">
              <w:rPr>
                <w:rFonts w:ascii="Calibri" w:hAnsi="Calibri" w:cs="Calibri"/>
                <w:sz w:val="22"/>
                <w:szCs w:val="22"/>
              </w:rPr>
              <w:t xml:space="preserve"> that are provided in a timely manner.</w:t>
            </w:r>
            <w:r w:rsidR="00211B73" w:rsidRPr="00CE33C2">
              <w:rPr>
                <w:rFonts w:ascii="Calibri" w:hAnsi="Calibri" w:cs="Calibri"/>
                <w:sz w:val="22"/>
                <w:szCs w:val="22"/>
              </w:rPr>
              <w:t xml:space="preserve"> </w:t>
            </w:r>
          </w:p>
          <w:p w14:paraId="2F23F70F" w14:textId="5A7653BB" w:rsidR="00800BFB" w:rsidRPr="00800BFB" w:rsidRDefault="00800BFB" w:rsidP="000F1AE5">
            <w:pPr>
              <w:pStyle w:val="TableRowCentered"/>
              <w:jc w:val="left"/>
              <w:rPr>
                <w:rFonts w:ascii="Calibri" w:hAnsi="Calibri" w:cs="Calibri"/>
                <w:sz w:val="22"/>
                <w:szCs w:val="22"/>
              </w:rPr>
            </w:pPr>
            <w:r w:rsidRPr="00800BFB">
              <w:rPr>
                <w:rFonts w:ascii="Calibri" w:hAnsi="Calibri" w:cs="Calibri"/>
                <w:sz w:val="22"/>
                <w:szCs w:val="22"/>
              </w:rPr>
              <w:t>Referrals for Mental Health Support Team has enable bespoke plans and support given to families that have identifies themselves has needing additional support for their child’s mental Health and wellbeing.  </w:t>
            </w:r>
          </w:p>
          <w:p w14:paraId="11C9B978" w14:textId="77777777" w:rsidR="00800BFB" w:rsidRPr="00800BFB" w:rsidRDefault="00800BFB" w:rsidP="00800BFB">
            <w:pPr>
              <w:pStyle w:val="TableRowCentered"/>
              <w:jc w:val="left"/>
              <w:rPr>
                <w:rFonts w:ascii="Calibri" w:hAnsi="Calibri" w:cs="Calibri"/>
                <w:sz w:val="22"/>
                <w:szCs w:val="22"/>
              </w:rPr>
            </w:pPr>
            <w:r w:rsidRPr="00800BFB">
              <w:rPr>
                <w:rFonts w:ascii="Calibri" w:hAnsi="Calibri" w:cs="Calibri"/>
                <w:sz w:val="22"/>
                <w:szCs w:val="22"/>
              </w:rPr>
              <w:t>Using Zones of Regulation and scripted language pupils have been supported to identify their emotions and follow strategies to enable them to regulate in a safe and appropriate manner.  </w:t>
            </w:r>
          </w:p>
          <w:p w14:paraId="54CBE44F" w14:textId="481F4FB4" w:rsidR="00211B73" w:rsidRPr="00CE33C2" w:rsidRDefault="00211B73" w:rsidP="00595DC6">
            <w:pPr>
              <w:pStyle w:val="TableRowCentered"/>
              <w:jc w:val="left"/>
              <w:rPr>
                <w:rFonts w:ascii="Calibri" w:hAnsi="Calibri" w:cs="Calibri"/>
                <w:sz w:val="16"/>
                <w:szCs w:val="16"/>
              </w:rPr>
            </w:pPr>
          </w:p>
        </w:tc>
      </w:tr>
      <w:tr w:rsidR="00211B73" w:rsidRPr="00CE33C2" w14:paraId="5E87315D"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EB1A9" w14:textId="77777777" w:rsidR="004319A8" w:rsidRPr="004319A8" w:rsidRDefault="004319A8" w:rsidP="004319A8">
            <w:pPr>
              <w:pStyle w:val="TableRow"/>
              <w:rPr>
                <w:rFonts w:ascii="Calibri" w:hAnsi="Calibri" w:cs="Calibri"/>
                <w:iCs/>
                <w:color w:val="auto"/>
                <w:sz w:val="22"/>
                <w:szCs w:val="22"/>
              </w:rPr>
            </w:pPr>
            <w:r w:rsidRPr="004319A8">
              <w:rPr>
                <w:rFonts w:ascii="Calibri" w:hAnsi="Calibri" w:cs="Calibri"/>
                <w:iCs/>
                <w:color w:val="auto"/>
                <w:sz w:val="22"/>
                <w:szCs w:val="22"/>
              </w:rPr>
              <w:t>Persistent absenteeism reduces so that pupils</w:t>
            </w:r>
          </w:p>
          <w:p w14:paraId="5EC2786F" w14:textId="77777777" w:rsidR="004319A8" w:rsidRPr="004319A8" w:rsidRDefault="004319A8" w:rsidP="004319A8">
            <w:pPr>
              <w:pStyle w:val="TableRow"/>
              <w:rPr>
                <w:rFonts w:ascii="Calibri" w:hAnsi="Calibri" w:cs="Calibri"/>
                <w:iCs/>
                <w:color w:val="auto"/>
                <w:sz w:val="22"/>
                <w:szCs w:val="22"/>
              </w:rPr>
            </w:pPr>
            <w:r w:rsidRPr="004319A8">
              <w:rPr>
                <w:rFonts w:ascii="Calibri" w:hAnsi="Calibri" w:cs="Calibri"/>
                <w:iCs/>
                <w:color w:val="auto"/>
                <w:sz w:val="22"/>
                <w:szCs w:val="22"/>
              </w:rPr>
              <w:t>entitled to PP are accessing a full curriculum</w:t>
            </w:r>
          </w:p>
          <w:p w14:paraId="650869A6" w14:textId="7E3EF374" w:rsidR="00211B73" w:rsidRPr="00CE33C2" w:rsidRDefault="00211B73" w:rsidP="00595DC6">
            <w:pPr>
              <w:pStyle w:val="TableRow"/>
              <w:rPr>
                <w:rFonts w:ascii="Calibri" w:hAnsi="Calibri" w:cs="Calibri"/>
                <w:color w:val="FF0000"/>
                <w:sz w:val="22"/>
                <w:szCs w:val="22"/>
              </w:rPr>
            </w:pP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2B90C" w14:textId="77777777" w:rsidR="00650195" w:rsidRPr="00CE33C2" w:rsidRDefault="003D1BD3" w:rsidP="00595DC6">
            <w:pPr>
              <w:pStyle w:val="TableRowCentered"/>
              <w:jc w:val="left"/>
              <w:rPr>
                <w:rFonts w:ascii="Calibri" w:hAnsi="Calibri" w:cs="Calibri"/>
                <w:sz w:val="22"/>
                <w:szCs w:val="22"/>
              </w:rPr>
            </w:pPr>
            <w:r w:rsidRPr="00CE33C2">
              <w:rPr>
                <w:rFonts w:ascii="Calibri" w:hAnsi="Calibri" w:cs="Calibri"/>
                <w:sz w:val="22"/>
                <w:szCs w:val="22"/>
              </w:rPr>
              <w:t>Pupils entitled to PP attend as well as those not entitled.</w:t>
            </w:r>
          </w:p>
          <w:p w14:paraId="3C09D467" w14:textId="77777777" w:rsidR="00650195" w:rsidRPr="00CE33C2" w:rsidRDefault="003D1BD3" w:rsidP="00595DC6">
            <w:pPr>
              <w:pStyle w:val="TableRowCentered"/>
              <w:jc w:val="left"/>
              <w:rPr>
                <w:rFonts w:ascii="Calibri" w:hAnsi="Calibri" w:cs="Calibri"/>
                <w:sz w:val="22"/>
                <w:szCs w:val="22"/>
              </w:rPr>
            </w:pPr>
            <w:r w:rsidRPr="00CE33C2">
              <w:rPr>
                <w:rFonts w:ascii="Calibri" w:hAnsi="Calibri" w:cs="Calibri"/>
                <w:sz w:val="22"/>
                <w:szCs w:val="22"/>
              </w:rPr>
              <w:t xml:space="preserve"> Persistent absence is substantially reduced (for affected pupils).</w:t>
            </w:r>
          </w:p>
          <w:p w14:paraId="318EF4D2" w14:textId="3761BFDA" w:rsidR="00211B73" w:rsidRPr="00CE33C2" w:rsidRDefault="003D1BD3" w:rsidP="00595DC6">
            <w:pPr>
              <w:pStyle w:val="TableRowCentered"/>
              <w:jc w:val="left"/>
              <w:rPr>
                <w:rFonts w:ascii="Calibri" w:hAnsi="Calibri" w:cs="Calibri"/>
                <w:sz w:val="22"/>
                <w:szCs w:val="22"/>
              </w:rPr>
            </w:pPr>
            <w:r w:rsidRPr="00CE33C2">
              <w:rPr>
                <w:rFonts w:ascii="Calibri" w:hAnsi="Calibri" w:cs="Calibri"/>
                <w:sz w:val="22"/>
                <w:szCs w:val="22"/>
              </w:rPr>
              <w:t xml:space="preserve"> Families of pupils who are persistently absent are working in partnership with </w:t>
            </w:r>
            <w:r w:rsidRPr="00CE33C2">
              <w:rPr>
                <w:rFonts w:ascii="Calibri" w:hAnsi="Calibri" w:cs="Calibri"/>
                <w:sz w:val="22"/>
                <w:szCs w:val="22"/>
              </w:rPr>
              <w:lastRenderedPageBreak/>
              <w:t>school on achieving bespoke attendance targets.</w:t>
            </w:r>
          </w:p>
        </w:tc>
        <w:tc>
          <w:tcPr>
            <w:tcW w:w="6572" w:type="dxa"/>
            <w:tcBorders>
              <w:top w:val="single" w:sz="4" w:space="0" w:color="000000"/>
              <w:left w:val="single" w:sz="4" w:space="0" w:color="000000"/>
              <w:bottom w:val="single" w:sz="4" w:space="0" w:color="000000"/>
              <w:right w:val="single" w:sz="4" w:space="0" w:color="000000"/>
            </w:tcBorders>
          </w:tcPr>
          <w:p w14:paraId="0D210BF9" w14:textId="77777777" w:rsidR="005C0065" w:rsidRDefault="005C0065" w:rsidP="005C0065">
            <w:pPr>
              <w:pStyle w:val="TableRow"/>
              <w:rPr>
                <w:rFonts w:ascii="Calibri" w:hAnsi="Calibri" w:cs="Calibri"/>
                <w:sz w:val="22"/>
                <w:szCs w:val="22"/>
              </w:rPr>
            </w:pPr>
            <w:r w:rsidRPr="00CE33C2">
              <w:rPr>
                <w:rFonts w:ascii="Calibri" w:hAnsi="Calibri" w:cs="Calibri"/>
                <w:sz w:val="22"/>
                <w:szCs w:val="22"/>
              </w:rPr>
              <w:lastRenderedPageBreak/>
              <w:t xml:space="preserve">The attendance of children entitled to pupil premium at The King’s has improved from 90.69% in 2022-2023 to 91.30% in 2023-2024. Although the Persistent Absence figure has increased slightly, it is still below the figure for Notts FSM PA. The protective measures in place (work carried out by the Attendance Team and SLT) must continue to carry on these </w:t>
            </w:r>
            <w:r w:rsidRPr="00CE33C2">
              <w:rPr>
                <w:rFonts w:ascii="Calibri" w:hAnsi="Calibri" w:cs="Calibri"/>
                <w:sz w:val="22"/>
                <w:szCs w:val="22"/>
              </w:rPr>
              <w:lastRenderedPageBreak/>
              <w:t>improvements. Work with parents is a daily focus, home visits and support meetings are an essential factor to this ongoing success.</w:t>
            </w:r>
          </w:p>
          <w:p w14:paraId="4BBD051F" w14:textId="77777777" w:rsidR="00C30BD4" w:rsidRPr="00CE33C2" w:rsidRDefault="00C30BD4" w:rsidP="005C0065">
            <w:pPr>
              <w:pStyle w:val="TableRow"/>
              <w:rPr>
                <w:rFonts w:ascii="Calibri" w:hAnsi="Calibri" w:cs="Calibri"/>
                <w:sz w:val="22"/>
                <w:szCs w:val="22"/>
              </w:rPr>
            </w:pPr>
          </w:p>
          <w:tbl>
            <w:tblPr>
              <w:tblStyle w:val="TableGrid"/>
              <w:tblW w:w="0" w:type="auto"/>
              <w:tblInd w:w="57" w:type="dxa"/>
              <w:tblLook w:val="04A0" w:firstRow="1" w:lastRow="0" w:firstColumn="1" w:lastColumn="0" w:noHBand="0" w:noVBand="1"/>
            </w:tblPr>
            <w:tblGrid>
              <w:gridCol w:w="564"/>
              <w:gridCol w:w="932"/>
              <w:gridCol w:w="932"/>
              <w:gridCol w:w="1107"/>
              <w:gridCol w:w="1107"/>
              <w:gridCol w:w="1107"/>
              <w:gridCol w:w="736"/>
            </w:tblGrid>
            <w:tr w:rsidR="00CE33C2" w:rsidRPr="00CE33C2" w14:paraId="7FF328A3" w14:textId="77777777" w:rsidTr="00595DC6">
              <w:tc>
                <w:tcPr>
                  <w:tcW w:w="1323" w:type="dxa"/>
                </w:tcPr>
                <w:p w14:paraId="7AE88FB0" w14:textId="77777777" w:rsidR="00CE33C2" w:rsidRPr="00CE33C2" w:rsidRDefault="00CE33C2" w:rsidP="00CE33C2">
                  <w:pPr>
                    <w:pStyle w:val="TableRow"/>
                    <w:ind w:left="0"/>
                    <w:rPr>
                      <w:rFonts w:ascii="Calibri" w:hAnsi="Calibri" w:cs="Calibri"/>
                      <w:b/>
                      <w:bCs/>
                      <w:sz w:val="22"/>
                      <w:szCs w:val="22"/>
                      <w:u w:val="single"/>
                    </w:rPr>
                  </w:pPr>
                </w:p>
              </w:tc>
              <w:tc>
                <w:tcPr>
                  <w:tcW w:w="1324" w:type="dxa"/>
                </w:tcPr>
                <w:p w14:paraId="46DD3A1D"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Whole school</w:t>
                  </w:r>
                </w:p>
                <w:p w14:paraId="300B4905" w14:textId="77777777" w:rsidR="00CE33C2" w:rsidRPr="00CE33C2" w:rsidRDefault="00CE33C2" w:rsidP="00CE33C2">
                  <w:pPr>
                    <w:pStyle w:val="TableRow"/>
                    <w:ind w:left="0"/>
                    <w:jc w:val="center"/>
                    <w:rPr>
                      <w:rFonts w:ascii="Calibri" w:hAnsi="Calibri" w:cs="Calibri"/>
                      <w:b/>
                      <w:bCs/>
                    </w:rPr>
                  </w:pPr>
                </w:p>
              </w:tc>
              <w:tc>
                <w:tcPr>
                  <w:tcW w:w="1324" w:type="dxa"/>
                </w:tcPr>
                <w:p w14:paraId="3BFD2087"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FSM6</w:t>
                  </w:r>
                </w:p>
              </w:tc>
              <w:tc>
                <w:tcPr>
                  <w:tcW w:w="1324" w:type="dxa"/>
                </w:tcPr>
                <w:p w14:paraId="78D5C178"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Persistent Absence Whole school</w:t>
                  </w:r>
                </w:p>
              </w:tc>
              <w:tc>
                <w:tcPr>
                  <w:tcW w:w="1324" w:type="dxa"/>
                </w:tcPr>
                <w:p w14:paraId="3B6BFE0C"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Persistent Absence FSM6</w:t>
                  </w:r>
                </w:p>
              </w:tc>
              <w:tc>
                <w:tcPr>
                  <w:tcW w:w="1324" w:type="dxa"/>
                </w:tcPr>
                <w:p w14:paraId="38FDEA1A"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Persistent Absence All</w:t>
                  </w:r>
                </w:p>
                <w:p w14:paraId="000AB5D3"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Notts LA</w:t>
                  </w:r>
                </w:p>
              </w:tc>
              <w:tc>
                <w:tcPr>
                  <w:tcW w:w="1324" w:type="dxa"/>
                </w:tcPr>
                <w:p w14:paraId="35EE12FB"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FSM6</w:t>
                  </w:r>
                </w:p>
                <w:p w14:paraId="095AEAEC" w14:textId="77777777" w:rsidR="00CE33C2" w:rsidRPr="00CE33C2" w:rsidRDefault="00CE33C2" w:rsidP="00CE33C2">
                  <w:pPr>
                    <w:pStyle w:val="TableRow"/>
                    <w:ind w:left="0"/>
                    <w:jc w:val="center"/>
                    <w:rPr>
                      <w:rFonts w:ascii="Calibri" w:hAnsi="Calibri" w:cs="Calibri"/>
                      <w:b/>
                      <w:bCs/>
                    </w:rPr>
                  </w:pPr>
                  <w:r w:rsidRPr="00CE33C2">
                    <w:rPr>
                      <w:rFonts w:ascii="Calibri" w:hAnsi="Calibri" w:cs="Calibri"/>
                      <w:b/>
                      <w:bCs/>
                    </w:rPr>
                    <w:t>Notts LA</w:t>
                  </w:r>
                </w:p>
              </w:tc>
            </w:tr>
            <w:tr w:rsidR="00CE33C2" w:rsidRPr="00CE33C2" w14:paraId="6DB1036F" w14:textId="77777777" w:rsidTr="00595DC6">
              <w:tc>
                <w:tcPr>
                  <w:tcW w:w="1323" w:type="dxa"/>
                </w:tcPr>
                <w:p w14:paraId="2E6AEB4E" w14:textId="77777777" w:rsidR="00CE33C2" w:rsidRPr="00CE33C2" w:rsidRDefault="00CE33C2" w:rsidP="00CE33C2">
                  <w:pPr>
                    <w:pStyle w:val="TableRow"/>
                    <w:ind w:left="0"/>
                    <w:rPr>
                      <w:rFonts w:ascii="Calibri" w:hAnsi="Calibri" w:cs="Calibri"/>
                      <w:b/>
                      <w:bCs/>
                      <w:sz w:val="22"/>
                      <w:szCs w:val="22"/>
                      <w:u w:val="single"/>
                    </w:rPr>
                  </w:pPr>
                  <w:r w:rsidRPr="00CE33C2">
                    <w:rPr>
                      <w:rFonts w:ascii="Calibri" w:hAnsi="Calibri" w:cs="Calibri"/>
                      <w:b/>
                      <w:bCs/>
                      <w:sz w:val="22"/>
                      <w:szCs w:val="22"/>
                      <w:u w:val="single"/>
                    </w:rPr>
                    <w:t>22-23</w:t>
                  </w:r>
                </w:p>
              </w:tc>
              <w:tc>
                <w:tcPr>
                  <w:tcW w:w="1324" w:type="dxa"/>
                </w:tcPr>
                <w:p w14:paraId="56D1CD00"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92.45%</w:t>
                  </w:r>
                </w:p>
              </w:tc>
              <w:tc>
                <w:tcPr>
                  <w:tcW w:w="1324" w:type="dxa"/>
                </w:tcPr>
                <w:p w14:paraId="49B265A5"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90.69%</w:t>
                  </w:r>
                </w:p>
              </w:tc>
              <w:tc>
                <w:tcPr>
                  <w:tcW w:w="1324" w:type="dxa"/>
                </w:tcPr>
                <w:p w14:paraId="5BF25351"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25.17%</w:t>
                  </w:r>
                </w:p>
              </w:tc>
              <w:tc>
                <w:tcPr>
                  <w:tcW w:w="1324" w:type="dxa"/>
                </w:tcPr>
                <w:p w14:paraId="7A73253C"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32.05%</w:t>
                  </w:r>
                </w:p>
              </w:tc>
              <w:tc>
                <w:tcPr>
                  <w:tcW w:w="1324" w:type="dxa"/>
                </w:tcPr>
                <w:p w14:paraId="2E6874B2" w14:textId="77777777" w:rsidR="00CE33C2" w:rsidRPr="00CE33C2" w:rsidRDefault="00CE33C2" w:rsidP="00CE33C2">
                  <w:pPr>
                    <w:pStyle w:val="TableRow"/>
                    <w:ind w:left="0"/>
                    <w:jc w:val="center"/>
                    <w:rPr>
                      <w:rFonts w:ascii="Calibri" w:hAnsi="Calibri" w:cs="Calibri"/>
                      <w:b/>
                      <w:bCs/>
                      <w:sz w:val="22"/>
                      <w:szCs w:val="22"/>
                      <w:u w:val="single"/>
                    </w:rPr>
                  </w:pPr>
                </w:p>
              </w:tc>
              <w:tc>
                <w:tcPr>
                  <w:tcW w:w="1324" w:type="dxa"/>
                </w:tcPr>
                <w:p w14:paraId="78519AEA" w14:textId="77777777" w:rsidR="00CE33C2" w:rsidRPr="00CE33C2" w:rsidRDefault="00CE33C2" w:rsidP="00CE33C2">
                  <w:pPr>
                    <w:pStyle w:val="TableRow"/>
                    <w:ind w:left="0"/>
                    <w:jc w:val="center"/>
                    <w:rPr>
                      <w:rFonts w:ascii="Calibri" w:hAnsi="Calibri" w:cs="Calibri"/>
                      <w:b/>
                      <w:bCs/>
                      <w:sz w:val="22"/>
                      <w:szCs w:val="22"/>
                      <w:u w:val="single"/>
                    </w:rPr>
                  </w:pPr>
                </w:p>
              </w:tc>
            </w:tr>
            <w:tr w:rsidR="00CE33C2" w:rsidRPr="00CE33C2" w14:paraId="48DBF111" w14:textId="77777777" w:rsidTr="00595DC6">
              <w:tc>
                <w:tcPr>
                  <w:tcW w:w="1323" w:type="dxa"/>
                </w:tcPr>
                <w:p w14:paraId="3ADDA00D" w14:textId="77777777" w:rsidR="00CE33C2" w:rsidRPr="00CE33C2" w:rsidRDefault="00CE33C2" w:rsidP="00CE33C2">
                  <w:pPr>
                    <w:pStyle w:val="TableRow"/>
                    <w:ind w:left="0"/>
                    <w:rPr>
                      <w:rFonts w:ascii="Calibri" w:hAnsi="Calibri" w:cs="Calibri"/>
                      <w:b/>
                      <w:bCs/>
                      <w:sz w:val="22"/>
                      <w:szCs w:val="22"/>
                      <w:u w:val="single"/>
                    </w:rPr>
                  </w:pPr>
                  <w:r w:rsidRPr="00CE33C2">
                    <w:rPr>
                      <w:rFonts w:ascii="Calibri" w:hAnsi="Calibri" w:cs="Calibri"/>
                      <w:b/>
                      <w:bCs/>
                      <w:sz w:val="22"/>
                      <w:szCs w:val="22"/>
                      <w:u w:val="single"/>
                    </w:rPr>
                    <w:t>23-24</w:t>
                  </w:r>
                </w:p>
              </w:tc>
              <w:tc>
                <w:tcPr>
                  <w:tcW w:w="1324" w:type="dxa"/>
                </w:tcPr>
                <w:p w14:paraId="6351EDC2"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92.61%</w:t>
                  </w:r>
                </w:p>
              </w:tc>
              <w:tc>
                <w:tcPr>
                  <w:tcW w:w="1324" w:type="dxa"/>
                </w:tcPr>
                <w:p w14:paraId="591B1FEA"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91.30%</w:t>
                  </w:r>
                </w:p>
              </w:tc>
              <w:tc>
                <w:tcPr>
                  <w:tcW w:w="1324" w:type="dxa"/>
                </w:tcPr>
                <w:p w14:paraId="00A43831"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26.47%</w:t>
                  </w:r>
                </w:p>
              </w:tc>
              <w:tc>
                <w:tcPr>
                  <w:tcW w:w="1324" w:type="dxa"/>
                </w:tcPr>
                <w:p w14:paraId="370C5DA8"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32.82%</w:t>
                  </w:r>
                </w:p>
              </w:tc>
              <w:tc>
                <w:tcPr>
                  <w:tcW w:w="1324" w:type="dxa"/>
                </w:tcPr>
                <w:p w14:paraId="7071D62A" w14:textId="77777777" w:rsidR="00CE33C2" w:rsidRPr="00CE33C2" w:rsidRDefault="00CE33C2" w:rsidP="00CE33C2">
                  <w:pPr>
                    <w:pStyle w:val="TableRow"/>
                    <w:ind w:left="0"/>
                    <w:jc w:val="center"/>
                    <w:rPr>
                      <w:rFonts w:ascii="Calibri" w:hAnsi="Calibri" w:cs="Calibri"/>
                      <w:sz w:val="22"/>
                      <w:szCs w:val="22"/>
                    </w:rPr>
                  </w:pPr>
                  <w:r w:rsidRPr="00CE33C2">
                    <w:rPr>
                      <w:rFonts w:ascii="Calibri" w:hAnsi="Calibri" w:cs="Calibri"/>
                      <w:sz w:val="22"/>
                      <w:szCs w:val="22"/>
                    </w:rPr>
                    <w:t>18.4%</w:t>
                  </w:r>
                </w:p>
              </w:tc>
              <w:tc>
                <w:tcPr>
                  <w:tcW w:w="1324" w:type="dxa"/>
                </w:tcPr>
                <w:p w14:paraId="5A31F048" w14:textId="77777777" w:rsidR="00CE33C2" w:rsidRPr="00CE33C2" w:rsidRDefault="00CE33C2" w:rsidP="00CE33C2">
                  <w:pPr>
                    <w:pStyle w:val="TableRow"/>
                    <w:ind w:left="0"/>
                    <w:jc w:val="center"/>
                    <w:rPr>
                      <w:rFonts w:ascii="Calibri" w:hAnsi="Calibri" w:cs="Calibri"/>
                      <w:b/>
                      <w:bCs/>
                      <w:sz w:val="22"/>
                      <w:szCs w:val="22"/>
                      <w:u w:val="single"/>
                    </w:rPr>
                  </w:pPr>
                  <w:r w:rsidRPr="00CE33C2">
                    <w:rPr>
                      <w:rFonts w:ascii="Calibri" w:hAnsi="Calibri" w:cs="Calibri"/>
                      <w:sz w:val="22"/>
                      <w:szCs w:val="22"/>
                    </w:rPr>
                    <w:t>34%</w:t>
                  </w:r>
                </w:p>
              </w:tc>
            </w:tr>
          </w:tbl>
          <w:p w14:paraId="03FF7999" w14:textId="77777777" w:rsidR="00CE33C2" w:rsidRPr="00CE33C2" w:rsidRDefault="00CE33C2" w:rsidP="005C0065">
            <w:pPr>
              <w:pStyle w:val="TableRow"/>
              <w:rPr>
                <w:rFonts w:ascii="Calibri" w:hAnsi="Calibri" w:cs="Calibri"/>
                <w:sz w:val="22"/>
                <w:szCs w:val="22"/>
              </w:rPr>
            </w:pPr>
          </w:p>
          <w:p w14:paraId="78187D2D" w14:textId="33B6FC8D" w:rsidR="00211B73" w:rsidRPr="00CE33C2" w:rsidRDefault="00211B73" w:rsidP="00595DC6">
            <w:pPr>
              <w:pStyle w:val="TableRowCentered"/>
              <w:jc w:val="left"/>
              <w:rPr>
                <w:rFonts w:ascii="Calibri" w:hAnsi="Calibri" w:cs="Calibri"/>
                <w:sz w:val="22"/>
                <w:szCs w:val="22"/>
              </w:rPr>
            </w:pPr>
          </w:p>
        </w:tc>
      </w:tr>
      <w:tr w:rsidR="00211B73" w:rsidRPr="00CE33C2" w14:paraId="4B178D76" w14:textId="77777777" w:rsidTr="00AE4DDD">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00838" w14:textId="77777777" w:rsidR="003D1BD3" w:rsidRPr="003D1BD3" w:rsidRDefault="003D1BD3" w:rsidP="003D1BD3">
            <w:pPr>
              <w:pStyle w:val="TableRow"/>
              <w:rPr>
                <w:rFonts w:ascii="Calibri" w:hAnsi="Calibri" w:cs="Calibri"/>
                <w:iCs/>
                <w:color w:val="auto"/>
                <w:sz w:val="22"/>
                <w:szCs w:val="22"/>
              </w:rPr>
            </w:pPr>
            <w:r w:rsidRPr="003D1BD3">
              <w:rPr>
                <w:rFonts w:ascii="Calibri" w:hAnsi="Calibri" w:cs="Calibri"/>
                <w:iCs/>
                <w:color w:val="auto"/>
                <w:sz w:val="22"/>
                <w:szCs w:val="22"/>
              </w:rPr>
              <w:lastRenderedPageBreak/>
              <w:t>Pupils entitled to PP have the same</w:t>
            </w:r>
          </w:p>
          <w:p w14:paraId="1177FB41" w14:textId="77777777" w:rsidR="003D1BD3" w:rsidRPr="003D1BD3" w:rsidRDefault="003D1BD3" w:rsidP="003D1BD3">
            <w:pPr>
              <w:pStyle w:val="TableRow"/>
              <w:rPr>
                <w:rFonts w:ascii="Calibri" w:hAnsi="Calibri" w:cs="Calibri"/>
                <w:iCs/>
                <w:color w:val="auto"/>
                <w:sz w:val="22"/>
                <w:szCs w:val="22"/>
              </w:rPr>
            </w:pPr>
            <w:r w:rsidRPr="003D1BD3">
              <w:rPr>
                <w:rFonts w:ascii="Calibri" w:hAnsi="Calibri" w:cs="Calibri"/>
                <w:iCs/>
                <w:color w:val="auto"/>
                <w:sz w:val="22"/>
                <w:szCs w:val="22"/>
              </w:rPr>
              <w:t>opportunities at school at those who are not,</w:t>
            </w:r>
          </w:p>
          <w:p w14:paraId="42EE94DA" w14:textId="77777777" w:rsidR="003D1BD3" w:rsidRPr="003D1BD3" w:rsidRDefault="003D1BD3" w:rsidP="003D1BD3">
            <w:pPr>
              <w:pStyle w:val="TableRow"/>
              <w:rPr>
                <w:rFonts w:ascii="Calibri" w:hAnsi="Calibri" w:cs="Calibri"/>
                <w:iCs/>
                <w:color w:val="auto"/>
                <w:sz w:val="22"/>
                <w:szCs w:val="22"/>
              </w:rPr>
            </w:pPr>
            <w:r w:rsidRPr="003D1BD3">
              <w:rPr>
                <w:rFonts w:ascii="Calibri" w:hAnsi="Calibri" w:cs="Calibri"/>
                <w:iCs/>
                <w:color w:val="auto"/>
                <w:sz w:val="22"/>
                <w:szCs w:val="22"/>
              </w:rPr>
              <w:t>increasing their cultural capital through wider</w:t>
            </w:r>
          </w:p>
          <w:p w14:paraId="55D1376D" w14:textId="77777777" w:rsidR="003D1BD3" w:rsidRPr="003D1BD3" w:rsidRDefault="003D1BD3" w:rsidP="003D1BD3">
            <w:pPr>
              <w:pStyle w:val="TableRow"/>
              <w:rPr>
                <w:rFonts w:ascii="Calibri" w:hAnsi="Calibri" w:cs="Calibri"/>
                <w:iCs/>
                <w:color w:val="auto"/>
                <w:sz w:val="22"/>
                <w:szCs w:val="22"/>
              </w:rPr>
            </w:pPr>
            <w:r w:rsidRPr="003D1BD3">
              <w:rPr>
                <w:rFonts w:ascii="Calibri" w:hAnsi="Calibri" w:cs="Calibri"/>
                <w:iCs/>
                <w:color w:val="auto"/>
                <w:sz w:val="22"/>
                <w:szCs w:val="22"/>
              </w:rPr>
              <w:t>experiences that they can draw on in their</w:t>
            </w:r>
          </w:p>
          <w:p w14:paraId="56482E55" w14:textId="77777777" w:rsidR="003D1BD3" w:rsidRPr="003D1BD3" w:rsidRDefault="003D1BD3" w:rsidP="003D1BD3">
            <w:pPr>
              <w:pStyle w:val="TableRow"/>
              <w:rPr>
                <w:rFonts w:ascii="Calibri" w:hAnsi="Calibri" w:cs="Calibri"/>
                <w:iCs/>
                <w:color w:val="auto"/>
                <w:sz w:val="22"/>
                <w:szCs w:val="22"/>
              </w:rPr>
            </w:pPr>
            <w:r w:rsidRPr="003D1BD3">
              <w:rPr>
                <w:rFonts w:ascii="Calibri" w:hAnsi="Calibri" w:cs="Calibri"/>
                <w:iCs/>
                <w:color w:val="auto"/>
                <w:sz w:val="22"/>
                <w:szCs w:val="22"/>
              </w:rPr>
              <w:t>learning.</w:t>
            </w:r>
          </w:p>
          <w:p w14:paraId="037DAD1B" w14:textId="29B16EAF" w:rsidR="00211B73" w:rsidRPr="00CE33C2" w:rsidRDefault="00211B73" w:rsidP="00595DC6">
            <w:pPr>
              <w:pStyle w:val="TableRow"/>
              <w:ind w:left="0"/>
              <w:rPr>
                <w:rFonts w:ascii="Calibri" w:hAnsi="Calibri" w:cs="Calibri"/>
                <w:iCs/>
                <w:color w:val="auto"/>
                <w:sz w:val="22"/>
                <w:szCs w:val="22"/>
              </w:rPr>
            </w:pPr>
          </w:p>
        </w:tc>
        <w:tc>
          <w:tcPr>
            <w:tcW w:w="40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35DA" w14:textId="77777777" w:rsidR="00650195" w:rsidRPr="00CE33C2" w:rsidRDefault="00650195" w:rsidP="00595DC6">
            <w:pPr>
              <w:pStyle w:val="TableRowCentered"/>
              <w:jc w:val="left"/>
              <w:rPr>
                <w:rFonts w:ascii="Calibri" w:hAnsi="Calibri" w:cs="Calibri"/>
                <w:sz w:val="22"/>
                <w:szCs w:val="22"/>
              </w:rPr>
            </w:pPr>
            <w:r w:rsidRPr="00CE33C2">
              <w:rPr>
                <w:rFonts w:ascii="Calibri" w:hAnsi="Calibri" w:cs="Calibri"/>
                <w:sz w:val="22"/>
                <w:szCs w:val="22"/>
              </w:rPr>
              <w:t xml:space="preserve">Pupils entitled to PP make good progress in their learning. </w:t>
            </w:r>
          </w:p>
          <w:p w14:paraId="736583EF" w14:textId="77777777" w:rsidR="00650195" w:rsidRPr="00CE33C2" w:rsidRDefault="00650195" w:rsidP="00595DC6">
            <w:pPr>
              <w:pStyle w:val="TableRowCentered"/>
              <w:jc w:val="left"/>
              <w:rPr>
                <w:rFonts w:ascii="Calibri" w:hAnsi="Calibri" w:cs="Calibri"/>
                <w:sz w:val="22"/>
                <w:szCs w:val="22"/>
              </w:rPr>
            </w:pPr>
            <w:r w:rsidRPr="00CE33C2">
              <w:rPr>
                <w:rFonts w:ascii="Calibri" w:hAnsi="Calibri" w:cs="Calibri"/>
                <w:sz w:val="22"/>
                <w:szCs w:val="22"/>
              </w:rPr>
              <w:t>Pupils entitled to PP talk passionately about their wider experiences at school.</w:t>
            </w:r>
          </w:p>
          <w:p w14:paraId="078807B4" w14:textId="5166E4D4" w:rsidR="00211B73" w:rsidRPr="00CE33C2" w:rsidRDefault="00650195" w:rsidP="00595DC6">
            <w:pPr>
              <w:pStyle w:val="TableRowCentered"/>
              <w:jc w:val="left"/>
              <w:rPr>
                <w:rFonts w:ascii="Calibri" w:hAnsi="Calibri" w:cs="Calibri"/>
                <w:sz w:val="22"/>
                <w:szCs w:val="22"/>
              </w:rPr>
            </w:pPr>
            <w:r w:rsidRPr="00CE33C2">
              <w:rPr>
                <w:rFonts w:ascii="Calibri" w:hAnsi="Calibri" w:cs="Calibri"/>
                <w:sz w:val="22"/>
                <w:szCs w:val="22"/>
              </w:rPr>
              <w:t xml:space="preserve"> Pupils entitled to PP have accessed a wide variety of extra-curricular activities, acquiring new skills and knowledge.</w:t>
            </w:r>
          </w:p>
        </w:tc>
        <w:tc>
          <w:tcPr>
            <w:tcW w:w="6572" w:type="dxa"/>
            <w:tcBorders>
              <w:top w:val="single" w:sz="4" w:space="0" w:color="000000"/>
              <w:left w:val="single" w:sz="4" w:space="0" w:color="000000"/>
              <w:bottom w:val="single" w:sz="4" w:space="0" w:color="000000"/>
              <w:right w:val="single" w:sz="4" w:space="0" w:color="000000"/>
            </w:tcBorders>
          </w:tcPr>
          <w:p w14:paraId="256F3436" w14:textId="77777777" w:rsidR="003939A0" w:rsidRPr="003939A0" w:rsidRDefault="003939A0" w:rsidP="00AF65FF">
            <w:pPr>
              <w:pStyle w:val="TableRowCentered"/>
              <w:jc w:val="left"/>
              <w:rPr>
                <w:rFonts w:ascii="Calibri" w:hAnsi="Calibri" w:cs="Calibri"/>
                <w:color w:val="auto"/>
                <w:sz w:val="22"/>
                <w:szCs w:val="22"/>
              </w:rPr>
            </w:pPr>
            <w:r w:rsidRPr="003939A0">
              <w:rPr>
                <w:rFonts w:ascii="Calibri" w:hAnsi="Calibri" w:cs="Calibri"/>
                <w:color w:val="auto"/>
                <w:sz w:val="22"/>
                <w:szCs w:val="22"/>
              </w:rPr>
              <w:t>All PP eligible pupils had full access to all wider opportunities (including school visits and visitors). </w:t>
            </w:r>
          </w:p>
          <w:p w14:paraId="3632C725" w14:textId="77777777" w:rsidR="003939A0" w:rsidRPr="003939A0" w:rsidRDefault="003939A0" w:rsidP="00AF65FF">
            <w:pPr>
              <w:pStyle w:val="TableRowCentered"/>
              <w:jc w:val="left"/>
              <w:rPr>
                <w:rFonts w:ascii="Calibri" w:hAnsi="Calibri" w:cs="Calibri"/>
                <w:color w:val="auto"/>
                <w:sz w:val="22"/>
                <w:szCs w:val="22"/>
              </w:rPr>
            </w:pPr>
            <w:r w:rsidRPr="003939A0">
              <w:rPr>
                <w:rFonts w:ascii="Calibri" w:hAnsi="Calibri" w:cs="Calibri"/>
                <w:color w:val="auto"/>
                <w:sz w:val="22"/>
                <w:szCs w:val="22"/>
              </w:rPr>
              <w:t>All PP eligible pupils were recognised in Celebration Worship at least once during the year. </w:t>
            </w:r>
          </w:p>
          <w:p w14:paraId="550EB3E0" w14:textId="77777777" w:rsidR="003939A0" w:rsidRDefault="003939A0" w:rsidP="00AF65FF">
            <w:pPr>
              <w:pStyle w:val="TableRowCentered"/>
              <w:jc w:val="left"/>
              <w:rPr>
                <w:rFonts w:ascii="Calibri" w:hAnsi="Calibri" w:cs="Calibri"/>
                <w:color w:val="auto"/>
                <w:sz w:val="22"/>
                <w:szCs w:val="22"/>
              </w:rPr>
            </w:pPr>
            <w:r w:rsidRPr="003939A0">
              <w:rPr>
                <w:rFonts w:ascii="Calibri" w:hAnsi="Calibri" w:cs="Calibri"/>
                <w:color w:val="auto"/>
                <w:sz w:val="22"/>
                <w:szCs w:val="22"/>
              </w:rPr>
              <w:t>All PP eligible pupils were invited to school clubs, discos and parties. </w:t>
            </w:r>
          </w:p>
          <w:p w14:paraId="49CECCB8" w14:textId="77777777" w:rsidR="00F803E4" w:rsidRDefault="00041D7A" w:rsidP="00AF65FF">
            <w:pPr>
              <w:pStyle w:val="TableRowCentered"/>
              <w:jc w:val="left"/>
              <w:rPr>
                <w:rFonts w:ascii="Calibri" w:hAnsi="Calibri" w:cs="Calibri"/>
                <w:color w:val="auto"/>
                <w:sz w:val="22"/>
                <w:szCs w:val="22"/>
              </w:rPr>
            </w:pPr>
            <w:r w:rsidRPr="00041D7A">
              <w:rPr>
                <w:rFonts w:ascii="Calibri" w:hAnsi="Calibri" w:cs="Calibri"/>
                <w:color w:val="auto"/>
                <w:sz w:val="22"/>
                <w:szCs w:val="22"/>
              </w:rPr>
              <w:t>47.5</w:t>
            </w:r>
            <w:r w:rsidR="00AF65FF" w:rsidRPr="00041D7A">
              <w:rPr>
                <w:rFonts w:ascii="Calibri" w:hAnsi="Calibri" w:cs="Calibri"/>
                <w:color w:val="auto"/>
                <w:sz w:val="22"/>
                <w:szCs w:val="22"/>
              </w:rPr>
              <w:t>% of</w:t>
            </w:r>
            <w:r w:rsidR="00AF65FF">
              <w:rPr>
                <w:rFonts w:ascii="Calibri" w:hAnsi="Calibri" w:cs="Calibri"/>
                <w:color w:val="auto"/>
                <w:sz w:val="22"/>
                <w:szCs w:val="22"/>
              </w:rPr>
              <w:t xml:space="preserve"> </w:t>
            </w:r>
            <w:r w:rsidR="00DF74D0">
              <w:rPr>
                <w:rFonts w:ascii="Calibri" w:hAnsi="Calibri" w:cs="Calibri"/>
                <w:color w:val="auto"/>
                <w:sz w:val="22"/>
                <w:szCs w:val="22"/>
              </w:rPr>
              <w:t xml:space="preserve">eligible </w:t>
            </w:r>
            <w:r w:rsidR="00AF65FF">
              <w:rPr>
                <w:rFonts w:ascii="Calibri" w:hAnsi="Calibri" w:cs="Calibri"/>
                <w:color w:val="auto"/>
                <w:sz w:val="22"/>
                <w:szCs w:val="22"/>
              </w:rPr>
              <w:t>pupils attended a residential</w:t>
            </w:r>
            <w:r w:rsidR="00D66D9A">
              <w:rPr>
                <w:rFonts w:ascii="Calibri" w:hAnsi="Calibri" w:cs="Calibri"/>
                <w:color w:val="auto"/>
                <w:sz w:val="22"/>
                <w:szCs w:val="22"/>
              </w:rPr>
              <w:t xml:space="preserve"> in the academic year 2023-2024</w:t>
            </w:r>
            <w:r w:rsidR="00DF74D0">
              <w:rPr>
                <w:rFonts w:ascii="Calibri" w:hAnsi="Calibri" w:cs="Calibri"/>
                <w:color w:val="auto"/>
                <w:sz w:val="22"/>
                <w:szCs w:val="22"/>
              </w:rPr>
              <w:t xml:space="preserve">. </w:t>
            </w:r>
          </w:p>
          <w:p w14:paraId="7760B246" w14:textId="0F5C8863" w:rsidR="00AF65FF" w:rsidRDefault="002B59DC" w:rsidP="002B59DC">
            <w:pPr>
              <w:pStyle w:val="TableRowCentered"/>
              <w:jc w:val="left"/>
              <w:rPr>
                <w:rFonts w:ascii="Calibri" w:hAnsi="Calibri" w:cs="Calibri"/>
                <w:color w:val="auto"/>
                <w:sz w:val="22"/>
                <w:szCs w:val="22"/>
              </w:rPr>
            </w:pPr>
            <w:r>
              <w:rPr>
                <w:rFonts w:ascii="Calibri" w:hAnsi="Calibri" w:cs="Calibri"/>
                <w:color w:val="auto"/>
                <w:sz w:val="22"/>
                <w:szCs w:val="22"/>
              </w:rPr>
              <w:t>100% experienced something from The King’s Charter during the academic year 2023-2024</w:t>
            </w:r>
            <w:r>
              <w:rPr>
                <w:rFonts w:ascii="Calibri" w:hAnsi="Calibri" w:cs="Calibri"/>
                <w:color w:val="auto"/>
                <w:sz w:val="22"/>
                <w:szCs w:val="22"/>
              </w:rPr>
              <w:t xml:space="preserve"> and </w:t>
            </w:r>
            <w:r w:rsidR="00DF74D0">
              <w:rPr>
                <w:rFonts w:ascii="Calibri" w:hAnsi="Calibri" w:cs="Calibri"/>
                <w:color w:val="auto"/>
                <w:sz w:val="22"/>
                <w:szCs w:val="22"/>
              </w:rPr>
              <w:t xml:space="preserve">100% </w:t>
            </w:r>
            <w:r w:rsidR="00F803E4">
              <w:rPr>
                <w:rFonts w:ascii="Calibri" w:hAnsi="Calibri" w:cs="Calibri"/>
                <w:color w:val="auto"/>
                <w:sz w:val="22"/>
                <w:szCs w:val="22"/>
              </w:rPr>
              <w:t xml:space="preserve">of eligible pupils </w:t>
            </w:r>
            <w:r w:rsidR="00DF74D0">
              <w:rPr>
                <w:rFonts w:ascii="Calibri" w:hAnsi="Calibri" w:cs="Calibri"/>
                <w:color w:val="auto"/>
                <w:sz w:val="22"/>
                <w:szCs w:val="22"/>
              </w:rPr>
              <w:t xml:space="preserve">experienced a trip or </w:t>
            </w:r>
            <w:r w:rsidR="00B1032E">
              <w:rPr>
                <w:rFonts w:ascii="Calibri" w:hAnsi="Calibri" w:cs="Calibri"/>
                <w:color w:val="auto"/>
                <w:sz w:val="22"/>
                <w:szCs w:val="22"/>
              </w:rPr>
              <w:t>had themed</w:t>
            </w:r>
            <w:r w:rsidR="00F803E4">
              <w:rPr>
                <w:rFonts w:ascii="Calibri" w:hAnsi="Calibri" w:cs="Calibri"/>
                <w:color w:val="auto"/>
                <w:sz w:val="22"/>
                <w:szCs w:val="22"/>
              </w:rPr>
              <w:t xml:space="preserve"> topic</w:t>
            </w:r>
            <w:r w:rsidR="00B1032E">
              <w:rPr>
                <w:rFonts w:ascii="Calibri" w:hAnsi="Calibri" w:cs="Calibri"/>
                <w:color w:val="auto"/>
                <w:sz w:val="22"/>
                <w:szCs w:val="22"/>
              </w:rPr>
              <w:t xml:space="preserve"> days to broaden their</w:t>
            </w:r>
            <w:r w:rsidR="00F803E4">
              <w:rPr>
                <w:rFonts w:ascii="Calibri" w:hAnsi="Calibri" w:cs="Calibri"/>
                <w:color w:val="auto"/>
                <w:sz w:val="22"/>
                <w:szCs w:val="22"/>
              </w:rPr>
              <w:t xml:space="preserve"> experiences to enhance their learning.</w:t>
            </w:r>
          </w:p>
          <w:p w14:paraId="0AE9EC36" w14:textId="78D0034A" w:rsidR="00211B73" w:rsidRPr="00CE33C2" w:rsidRDefault="00211B73" w:rsidP="002B59DC">
            <w:pPr>
              <w:pStyle w:val="TableRowCentered"/>
              <w:jc w:val="left"/>
              <w:rPr>
                <w:rFonts w:ascii="Calibri" w:hAnsi="Calibri" w:cs="Calibri"/>
                <w:color w:val="auto"/>
                <w:sz w:val="22"/>
                <w:szCs w:val="22"/>
              </w:rPr>
            </w:pPr>
          </w:p>
        </w:tc>
      </w:tr>
    </w:tbl>
    <w:p w14:paraId="619ACA65" w14:textId="77777777" w:rsidR="00211B73" w:rsidRPr="00CE33C2" w:rsidRDefault="00211B73" w:rsidP="00211B73">
      <w:pPr>
        <w:rPr>
          <w:rFonts w:ascii="Calibri" w:hAnsi="Calibri" w:cs="Calibri"/>
        </w:rPr>
      </w:pPr>
    </w:p>
    <w:p w14:paraId="4976573E" w14:textId="77777777" w:rsidR="00FC51E7" w:rsidRPr="00CE33C2" w:rsidRDefault="00FC51E7">
      <w:pPr>
        <w:rPr>
          <w:rFonts w:ascii="Calibri" w:hAnsi="Calibri" w:cs="Calibri"/>
        </w:rPr>
      </w:pPr>
    </w:p>
    <w:sectPr w:rsidR="00FC51E7" w:rsidRPr="00CE33C2" w:rsidSect="00211B73">
      <w:headerReference w:type="default" r:id="rId6"/>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0BF94" w14:textId="77777777" w:rsidR="00211B73" w:rsidRDefault="00211B73" w:rsidP="00211B73">
      <w:pPr>
        <w:spacing w:after="0" w:line="240" w:lineRule="auto"/>
      </w:pPr>
      <w:r>
        <w:separator/>
      </w:r>
    </w:p>
  </w:endnote>
  <w:endnote w:type="continuationSeparator" w:id="0">
    <w:p w14:paraId="0A2FF4BE" w14:textId="77777777" w:rsidR="00211B73" w:rsidRDefault="00211B73" w:rsidP="00211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6FCE" w14:textId="77777777" w:rsidR="00211B73" w:rsidRDefault="00211B73" w:rsidP="00211B73">
      <w:pPr>
        <w:spacing w:after="0" w:line="240" w:lineRule="auto"/>
      </w:pPr>
      <w:r>
        <w:separator/>
      </w:r>
    </w:p>
  </w:footnote>
  <w:footnote w:type="continuationSeparator" w:id="0">
    <w:p w14:paraId="25739791" w14:textId="77777777" w:rsidR="00211B73" w:rsidRDefault="00211B73" w:rsidP="00211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6B9AA" w14:textId="1C990B82" w:rsidR="00211B73" w:rsidRDefault="00211B73" w:rsidP="00211B73">
    <w:pPr>
      <w:pStyle w:val="Heading1"/>
    </w:pPr>
    <w:r>
      <w:rPr>
        <w:noProof/>
      </w:rPr>
      <w:drawing>
        <wp:anchor distT="0" distB="0" distL="114300" distR="114300" simplePos="0" relativeHeight="251658240" behindDoc="1" locked="0" layoutInCell="1" allowOverlap="1" wp14:anchorId="4933198E" wp14:editId="1F6D1CB0">
          <wp:simplePos x="0" y="0"/>
          <wp:positionH relativeFrom="column">
            <wp:posOffset>0</wp:posOffset>
          </wp:positionH>
          <wp:positionV relativeFrom="paragraph">
            <wp:posOffset>229870</wp:posOffset>
          </wp:positionV>
          <wp:extent cx="655932" cy="824884"/>
          <wp:effectExtent l="0" t="0" r="0" b="0"/>
          <wp:wrapTight wrapText="bothSides">
            <wp:wrapPolygon edited="0">
              <wp:start x="0" y="0"/>
              <wp:lineTo x="0" y="20952"/>
              <wp:lineTo x="20721" y="20952"/>
              <wp:lineTo x="20721" y="0"/>
              <wp:lineTo x="0" y="0"/>
            </wp:wrapPolygon>
          </wp:wrapTight>
          <wp:docPr id="349995468" name="Picture 349995468" descr="A logo with a cross and do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95468" name="Picture 349995468" descr="A logo with a cross and dov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55932" cy="824884"/>
                  </a:xfrm>
                  <a:prstGeom prst="rect">
                    <a:avLst/>
                  </a:prstGeom>
                </pic:spPr>
              </pic:pic>
            </a:graphicData>
          </a:graphic>
        </wp:anchor>
      </w:drawing>
    </w:r>
    <w:r w:rsidRPr="005D1FAC">
      <w:rPr>
        <w:rFonts w:ascii="Tahoma" w:hAnsi="Tahoma" w:cs="Tahoma"/>
      </w:rPr>
      <w:t>Part B: Review of outcomes in the previous plan</w:t>
    </w:r>
    <w:r>
      <w:rPr>
        <w:rFonts w:ascii="Tahoma" w:hAnsi="Tahoma" w:cs="Tahoma"/>
      </w:rPr>
      <w:t xml:space="preserve"> (2021-2024)                        </w:t>
    </w:r>
    <w:r>
      <w:rPr>
        <w:rFonts w:ascii="Tahoma" w:hAnsi="Tahoma" w:cs="Tahoma"/>
      </w:rPr>
      <w:t xml:space="preserve">                </w:t>
    </w:r>
    <w:r w:rsidRPr="6C6010D5">
      <w:rPr>
        <w:rFonts w:ascii="Tahoma" w:hAnsi="Tahoma" w:cs="Tahoma"/>
      </w:rPr>
      <w:t>The King’s C of E Primary Academy</w:t>
    </w:r>
  </w:p>
  <w:p w14:paraId="0CB441AE" w14:textId="77777777" w:rsidR="00211B73" w:rsidRDefault="00211B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B73"/>
    <w:rsid w:val="00036440"/>
    <w:rsid w:val="00041D7A"/>
    <w:rsid w:val="000578D1"/>
    <w:rsid w:val="00070F29"/>
    <w:rsid w:val="00097A09"/>
    <w:rsid w:val="000F1AE5"/>
    <w:rsid w:val="001C229E"/>
    <w:rsid w:val="00211B73"/>
    <w:rsid w:val="002B59DC"/>
    <w:rsid w:val="003349FC"/>
    <w:rsid w:val="003939A0"/>
    <w:rsid w:val="003D1BD3"/>
    <w:rsid w:val="004319A8"/>
    <w:rsid w:val="00542C6A"/>
    <w:rsid w:val="005C0065"/>
    <w:rsid w:val="00624375"/>
    <w:rsid w:val="00633BC6"/>
    <w:rsid w:val="00650195"/>
    <w:rsid w:val="00800BFB"/>
    <w:rsid w:val="0086797E"/>
    <w:rsid w:val="008E2F47"/>
    <w:rsid w:val="009077A3"/>
    <w:rsid w:val="009377B6"/>
    <w:rsid w:val="00A839E3"/>
    <w:rsid w:val="00AE4DDD"/>
    <w:rsid w:val="00AF65FF"/>
    <w:rsid w:val="00B1032E"/>
    <w:rsid w:val="00B267CF"/>
    <w:rsid w:val="00C30BD4"/>
    <w:rsid w:val="00C471C8"/>
    <w:rsid w:val="00CE33C2"/>
    <w:rsid w:val="00D4235D"/>
    <w:rsid w:val="00D66D9A"/>
    <w:rsid w:val="00DF74D0"/>
    <w:rsid w:val="00E26857"/>
    <w:rsid w:val="00F803E4"/>
    <w:rsid w:val="00FC51E7"/>
    <w:rsid w:val="00FD3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D90A8"/>
  <w15:chartTrackingRefBased/>
  <w15:docId w15:val="{06C42AE4-403E-47CE-BBAE-DDC1CE39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B73"/>
    <w:pPr>
      <w:suppressAutoHyphens/>
      <w:autoSpaceDN w:val="0"/>
      <w:spacing w:after="240" w:line="288" w:lineRule="auto"/>
    </w:pPr>
    <w:rPr>
      <w:rFonts w:ascii="Arial" w:eastAsia="Times New Roman" w:hAnsi="Arial" w:cs="Times New Roman"/>
      <w:color w:val="0D0D0D"/>
      <w:kern w:val="0"/>
      <w:lang w:eastAsia="en-GB"/>
      <w14:ligatures w14:val="none"/>
    </w:rPr>
  </w:style>
  <w:style w:type="paragraph" w:styleId="Heading1">
    <w:name w:val="heading 1"/>
    <w:basedOn w:val="Normal"/>
    <w:next w:val="Normal"/>
    <w:link w:val="Heading1Char"/>
    <w:uiPriority w:val="9"/>
    <w:qFormat/>
    <w:rsid w:val="00211B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1B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B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B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B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B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B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B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B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B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B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B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B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B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B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B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B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B73"/>
    <w:rPr>
      <w:rFonts w:eastAsiaTheme="majorEastAsia" w:cstheme="majorBidi"/>
      <w:color w:val="272727" w:themeColor="text1" w:themeTint="D8"/>
    </w:rPr>
  </w:style>
  <w:style w:type="paragraph" w:styleId="Title">
    <w:name w:val="Title"/>
    <w:basedOn w:val="Normal"/>
    <w:next w:val="Normal"/>
    <w:link w:val="TitleChar"/>
    <w:uiPriority w:val="10"/>
    <w:qFormat/>
    <w:rsid w:val="00211B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B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B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B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B73"/>
    <w:pPr>
      <w:spacing w:before="160"/>
      <w:jc w:val="center"/>
    </w:pPr>
    <w:rPr>
      <w:i/>
      <w:iCs/>
      <w:color w:val="404040" w:themeColor="text1" w:themeTint="BF"/>
    </w:rPr>
  </w:style>
  <w:style w:type="character" w:customStyle="1" w:styleId="QuoteChar">
    <w:name w:val="Quote Char"/>
    <w:basedOn w:val="DefaultParagraphFont"/>
    <w:link w:val="Quote"/>
    <w:uiPriority w:val="29"/>
    <w:rsid w:val="00211B73"/>
    <w:rPr>
      <w:i/>
      <w:iCs/>
      <w:color w:val="404040" w:themeColor="text1" w:themeTint="BF"/>
    </w:rPr>
  </w:style>
  <w:style w:type="paragraph" w:styleId="ListParagraph">
    <w:name w:val="List Paragraph"/>
    <w:basedOn w:val="Normal"/>
    <w:uiPriority w:val="34"/>
    <w:qFormat/>
    <w:rsid w:val="00211B73"/>
    <w:pPr>
      <w:ind w:left="720"/>
      <w:contextualSpacing/>
    </w:pPr>
  </w:style>
  <w:style w:type="character" w:styleId="IntenseEmphasis">
    <w:name w:val="Intense Emphasis"/>
    <w:basedOn w:val="DefaultParagraphFont"/>
    <w:uiPriority w:val="21"/>
    <w:qFormat/>
    <w:rsid w:val="00211B73"/>
    <w:rPr>
      <w:i/>
      <w:iCs/>
      <w:color w:val="0F4761" w:themeColor="accent1" w:themeShade="BF"/>
    </w:rPr>
  </w:style>
  <w:style w:type="paragraph" w:styleId="IntenseQuote">
    <w:name w:val="Intense Quote"/>
    <w:basedOn w:val="Normal"/>
    <w:next w:val="Normal"/>
    <w:link w:val="IntenseQuoteChar"/>
    <w:uiPriority w:val="30"/>
    <w:qFormat/>
    <w:rsid w:val="00211B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B73"/>
    <w:rPr>
      <w:i/>
      <w:iCs/>
      <w:color w:val="0F4761" w:themeColor="accent1" w:themeShade="BF"/>
    </w:rPr>
  </w:style>
  <w:style w:type="character" w:styleId="IntenseReference">
    <w:name w:val="Intense Reference"/>
    <w:basedOn w:val="DefaultParagraphFont"/>
    <w:uiPriority w:val="32"/>
    <w:qFormat/>
    <w:rsid w:val="00211B73"/>
    <w:rPr>
      <w:b/>
      <w:bCs/>
      <w:smallCaps/>
      <w:color w:val="0F4761" w:themeColor="accent1" w:themeShade="BF"/>
      <w:spacing w:val="5"/>
    </w:rPr>
  </w:style>
  <w:style w:type="paragraph" w:customStyle="1" w:styleId="TableHeader">
    <w:name w:val="TableHeader"/>
    <w:rsid w:val="00211B73"/>
    <w:pPr>
      <w:suppressAutoHyphens/>
      <w:autoSpaceDN w:val="0"/>
      <w:spacing w:before="60" w:after="60" w:line="240" w:lineRule="auto"/>
      <w:ind w:left="57" w:right="57"/>
      <w:jc w:val="center"/>
    </w:pPr>
    <w:rPr>
      <w:rFonts w:ascii="Arial" w:eastAsia="Times New Roman" w:hAnsi="Arial" w:cs="Times New Roman"/>
      <w:b/>
      <w:color w:val="0D0D0D"/>
      <w:kern w:val="0"/>
      <w:lang w:eastAsia="en-GB"/>
      <w14:ligatures w14:val="none"/>
    </w:rPr>
  </w:style>
  <w:style w:type="paragraph" w:customStyle="1" w:styleId="TableRow">
    <w:name w:val="TableRow"/>
    <w:rsid w:val="00211B73"/>
    <w:pPr>
      <w:suppressAutoHyphens/>
      <w:autoSpaceDN w:val="0"/>
      <w:spacing w:before="60" w:after="60" w:line="240" w:lineRule="auto"/>
      <w:ind w:left="57" w:right="57"/>
    </w:pPr>
    <w:rPr>
      <w:rFonts w:ascii="Arial" w:eastAsia="Times New Roman" w:hAnsi="Arial" w:cs="Times New Roman"/>
      <w:color w:val="0D0D0D"/>
      <w:kern w:val="0"/>
      <w:lang w:eastAsia="en-GB"/>
      <w14:ligatures w14:val="none"/>
    </w:rPr>
  </w:style>
  <w:style w:type="paragraph" w:customStyle="1" w:styleId="TableRowCentered">
    <w:name w:val="TableRowCentered"/>
    <w:basedOn w:val="TableRow"/>
    <w:rsid w:val="00211B73"/>
    <w:pPr>
      <w:jc w:val="center"/>
    </w:pPr>
    <w:rPr>
      <w:szCs w:val="20"/>
    </w:rPr>
  </w:style>
  <w:style w:type="character" w:styleId="PlaceholderText">
    <w:name w:val="Placeholder Text"/>
    <w:basedOn w:val="DefaultParagraphFont"/>
    <w:rsid w:val="00211B73"/>
    <w:rPr>
      <w:color w:val="808080"/>
    </w:rPr>
  </w:style>
  <w:style w:type="paragraph" w:styleId="Header">
    <w:name w:val="header"/>
    <w:basedOn w:val="Normal"/>
    <w:link w:val="HeaderChar"/>
    <w:uiPriority w:val="99"/>
    <w:unhideWhenUsed/>
    <w:rsid w:val="00211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B73"/>
    <w:rPr>
      <w:rFonts w:ascii="Arial" w:eastAsia="Times New Roman" w:hAnsi="Arial" w:cs="Times New Roman"/>
      <w:color w:val="0D0D0D"/>
      <w:kern w:val="0"/>
      <w:lang w:eastAsia="en-GB"/>
      <w14:ligatures w14:val="none"/>
    </w:rPr>
  </w:style>
  <w:style w:type="paragraph" w:styleId="Footer">
    <w:name w:val="footer"/>
    <w:basedOn w:val="Normal"/>
    <w:link w:val="FooterChar"/>
    <w:uiPriority w:val="99"/>
    <w:unhideWhenUsed/>
    <w:rsid w:val="00211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B73"/>
    <w:rPr>
      <w:rFonts w:ascii="Arial" w:eastAsia="Times New Roman" w:hAnsi="Arial" w:cs="Times New Roman"/>
      <w:color w:val="0D0D0D"/>
      <w:kern w:val="0"/>
      <w:lang w:eastAsia="en-GB"/>
      <w14:ligatures w14:val="none"/>
    </w:rPr>
  </w:style>
  <w:style w:type="paragraph" w:styleId="NormalWeb">
    <w:name w:val="Normal (Web)"/>
    <w:basedOn w:val="Normal"/>
    <w:uiPriority w:val="99"/>
    <w:semiHidden/>
    <w:unhideWhenUsed/>
    <w:rsid w:val="000578D1"/>
    <w:rPr>
      <w:rFonts w:ascii="Times New Roman" w:hAnsi="Times New Roman"/>
    </w:rPr>
  </w:style>
  <w:style w:type="table" w:styleId="TableGrid">
    <w:name w:val="Table Grid"/>
    <w:basedOn w:val="TableNormal"/>
    <w:uiPriority w:val="39"/>
    <w:rsid w:val="003349FC"/>
    <w:pPr>
      <w:autoSpaceDN w:val="0"/>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2364">
      <w:bodyDiv w:val="1"/>
      <w:marLeft w:val="0"/>
      <w:marRight w:val="0"/>
      <w:marTop w:val="0"/>
      <w:marBottom w:val="0"/>
      <w:divBdr>
        <w:top w:val="none" w:sz="0" w:space="0" w:color="auto"/>
        <w:left w:val="none" w:sz="0" w:space="0" w:color="auto"/>
        <w:bottom w:val="none" w:sz="0" w:space="0" w:color="auto"/>
        <w:right w:val="none" w:sz="0" w:space="0" w:color="auto"/>
      </w:divBdr>
    </w:div>
    <w:div w:id="45953904">
      <w:bodyDiv w:val="1"/>
      <w:marLeft w:val="0"/>
      <w:marRight w:val="0"/>
      <w:marTop w:val="0"/>
      <w:marBottom w:val="0"/>
      <w:divBdr>
        <w:top w:val="none" w:sz="0" w:space="0" w:color="auto"/>
        <w:left w:val="none" w:sz="0" w:space="0" w:color="auto"/>
        <w:bottom w:val="none" w:sz="0" w:space="0" w:color="auto"/>
        <w:right w:val="none" w:sz="0" w:space="0" w:color="auto"/>
      </w:divBdr>
    </w:div>
    <w:div w:id="125315396">
      <w:bodyDiv w:val="1"/>
      <w:marLeft w:val="0"/>
      <w:marRight w:val="0"/>
      <w:marTop w:val="0"/>
      <w:marBottom w:val="0"/>
      <w:divBdr>
        <w:top w:val="none" w:sz="0" w:space="0" w:color="auto"/>
        <w:left w:val="none" w:sz="0" w:space="0" w:color="auto"/>
        <w:bottom w:val="none" w:sz="0" w:space="0" w:color="auto"/>
        <w:right w:val="none" w:sz="0" w:space="0" w:color="auto"/>
      </w:divBdr>
    </w:div>
    <w:div w:id="263419762">
      <w:bodyDiv w:val="1"/>
      <w:marLeft w:val="0"/>
      <w:marRight w:val="0"/>
      <w:marTop w:val="0"/>
      <w:marBottom w:val="0"/>
      <w:divBdr>
        <w:top w:val="none" w:sz="0" w:space="0" w:color="auto"/>
        <w:left w:val="none" w:sz="0" w:space="0" w:color="auto"/>
        <w:bottom w:val="none" w:sz="0" w:space="0" w:color="auto"/>
        <w:right w:val="none" w:sz="0" w:space="0" w:color="auto"/>
      </w:divBdr>
      <w:divsChild>
        <w:div w:id="429856229">
          <w:marLeft w:val="0"/>
          <w:marRight w:val="0"/>
          <w:marTop w:val="0"/>
          <w:marBottom w:val="0"/>
          <w:divBdr>
            <w:top w:val="none" w:sz="0" w:space="0" w:color="auto"/>
            <w:left w:val="none" w:sz="0" w:space="0" w:color="auto"/>
            <w:bottom w:val="none" w:sz="0" w:space="0" w:color="auto"/>
            <w:right w:val="none" w:sz="0" w:space="0" w:color="auto"/>
          </w:divBdr>
        </w:div>
        <w:div w:id="2065062652">
          <w:marLeft w:val="0"/>
          <w:marRight w:val="0"/>
          <w:marTop w:val="0"/>
          <w:marBottom w:val="0"/>
          <w:divBdr>
            <w:top w:val="none" w:sz="0" w:space="0" w:color="auto"/>
            <w:left w:val="none" w:sz="0" w:space="0" w:color="auto"/>
            <w:bottom w:val="none" w:sz="0" w:space="0" w:color="auto"/>
            <w:right w:val="none" w:sz="0" w:space="0" w:color="auto"/>
          </w:divBdr>
        </w:div>
        <w:div w:id="640378427">
          <w:marLeft w:val="0"/>
          <w:marRight w:val="0"/>
          <w:marTop w:val="0"/>
          <w:marBottom w:val="0"/>
          <w:divBdr>
            <w:top w:val="none" w:sz="0" w:space="0" w:color="auto"/>
            <w:left w:val="none" w:sz="0" w:space="0" w:color="auto"/>
            <w:bottom w:val="none" w:sz="0" w:space="0" w:color="auto"/>
            <w:right w:val="none" w:sz="0" w:space="0" w:color="auto"/>
          </w:divBdr>
        </w:div>
      </w:divsChild>
    </w:div>
    <w:div w:id="295599749">
      <w:bodyDiv w:val="1"/>
      <w:marLeft w:val="0"/>
      <w:marRight w:val="0"/>
      <w:marTop w:val="0"/>
      <w:marBottom w:val="0"/>
      <w:divBdr>
        <w:top w:val="none" w:sz="0" w:space="0" w:color="auto"/>
        <w:left w:val="none" w:sz="0" w:space="0" w:color="auto"/>
        <w:bottom w:val="none" w:sz="0" w:space="0" w:color="auto"/>
        <w:right w:val="none" w:sz="0" w:space="0" w:color="auto"/>
      </w:divBdr>
    </w:div>
    <w:div w:id="379667490">
      <w:bodyDiv w:val="1"/>
      <w:marLeft w:val="0"/>
      <w:marRight w:val="0"/>
      <w:marTop w:val="0"/>
      <w:marBottom w:val="0"/>
      <w:divBdr>
        <w:top w:val="none" w:sz="0" w:space="0" w:color="auto"/>
        <w:left w:val="none" w:sz="0" w:space="0" w:color="auto"/>
        <w:bottom w:val="none" w:sz="0" w:space="0" w:color="auto"/>
        <w:right w:val="none" w:sz="0" w:space="0" w:color="auto"/>
      </w:divBdr>
    </w:div>
    <w:div w:id="560678480">
      <w:bodyDiv w:val="1"/>
      <w:marLeft w:val="0"/>
      <w:marRight w:val="0"/>
      <w:marTop w:val="0"/>
      <w:marBottom w:val="0"/>
      <w:divBdr>
        <w:top w:val="none" w:sz="0" w:space="0" w:color="auto"/>
        <w:left w:val="none" w:sz="0" w:space="0" w:color="auto"/>
        <w:bottom w:val="none" w:sz="0" w:space="0" w:color="auto"/>
        <w:right w:val="none" w:sz="0" w:space="0" w:color="auto"/>
      </w:divBdr>
      <w:divsChild>
        <w:div w:id="879317215">
          <w:marLeft w:val="0"/>
          <w:marRight w:val="0"/>
          <w:marTop w:val="0"/>
          <w:marBottom w:val="0"/>
          <w:divBdr>
            <w:top w:val="none" w:sz="0" w:space="0" w:color="auto"/>
            <w:left w:val="none" w:sz="0" w:space="0" w:color="auto"/>
            <w:bottom w:val="none" w:sz="0" w:space="0" w:color="auto"/>
            <w:right w:val="none" w:sz="0" w:space="0" w:color="auto"/>
          </w:divBdr>
        </w:div>
        <w:div w:id="403113229">
          <w:marLeft w:val="0"/>
          <w:marRight w:val="0"/>
          <w:marTop w:val="0"/>
          <w:marBottom w:val="0"/>
          <w:divBdr>
            <w:top w:val="none" w:sz="0" w:space="0" w:color="auto"/>
            <w:left w:val="none" w:sz="0" w:space="0" w:color="auto"/>
            <w:bottom w:val="none" w:sz="0" w:space="0" w:color="auto"/>
            <w:right w:val="none" w:sz="0" w:space="0" w:color="auto"/>
          </w:divBdr>
        </w:div>
        <w:div w:id="1189100482">
          <w:marLeft w:val="0"/>
          <w:marRight w:val="0"/>
          <w:marTop w:val="0"/>
          <w:marBottom w:val="0"/>
          <w:divBdr>
            <w:top w:val="none" w:sz="0" w:space="0" w:color="auto"/>
            <w:left w:val="none" w:sz="0" w:space="0" w:color="auto"/>
            <w:bottom w:val="none" w:sz="0" w:space="0" w:color="auto"/>
            <w:right w:val="none" w:sz="0" w:space="0" w:color="auto"/>
          </w:divBdr>
        </w:div>
      </w:divsChild>
    </w:div>
    <w:div w:id="923302146">
      <w:bodyDiv w:val="1"/>
      <w:marLeft w:val="0"/>
      <w:marRight w:val="0"/>
      <w:marTop w:val="0"/>
      <w:marBottom w:val="0"/>
      <w:divBdr>
        <w:top w:val="none" w:sz="0" w:space="0" w:color="auto"/>
        <w:left w:val="none" w:sz="0" w:space="0" w:color="auto"/>
        <w:bottom w:val="none" w:sz="0" w:space="0" w:color="auto"/>
        <w:right w:val="none" w:sz="0" w:space="0" w:color="auto"/>
      </w:divBdr>
    </w:div>
    <w:div w:id="1207838027">
      <w:bodyDiv w:val="1"/>
      <w:marLeft w:val="0"/>
      <w:marRight w:val="0"/>
      <w:marTop w:val="0"/>
      <w:marBottom w:val="0"/>
      <w:divBdr>
        <w:top w:val="none" w:sz="0" w:space="0" w:color="auto"/>
        <w:left w:val="none" w:sz="0" w:space="0" w:color="auto"/>
        <w:bottom w:val="none" w:sz="0" w:space="0" w:color="auto"/>
        <w:right w:val="none" w:sz="0" w:space="0" w:color="auto"/>
      </w:divBdr>
      <w:divsChild>
        <w:div w:id="1267154759">
          <w:marLeft w:val="0"/>
          <w:marRight w:val="0"/>
          <w:marTop w:val="0"/>
          <w:marBottom w:val="0"/>
          <w:divBdr>
            <w:top w:val="none" w:sz="0" w:space="0" w:color="auto"/>
            <w:left w:val="none" w:sz="0" w:space="0" w:color="auto"/>
            <w:bottom w:val="none" w:sz="0" w:space="0" w:color="auto"/>
            <w:right w:val="none" w:sz="0" w:space="0" w:color="auto"/>
          </w:divBdr>
        </w:div>
        <w:div w:id="877358234">
          <w:marLeft w:val="0"/>
          <w:marRight w:val="0"/>
          <w:marTop w:val="0"/>
          <w:marBottom w:val="0"/>
          <w:divBdr>
            <w:top w:val="none" w:sz="0" w:space="0" w:color="auto"/>
            <w:left w:val="none" w:sz="0" w:space="0" w:color="auto"/>
            <w:bottom w:val="none" w:sz="0" w:space="0" w:color="auto"/>
            <w:right w:val="none" w:sz="0" w:space="0" w:color="auto"/>
          </w:divBdr>
        </w:div>
        <w:div w:id="90787630">
          <w:marLeft w:val="0"/>
          <w:marRight w:val="0"/>
          <w:marTop w:val="0"/>
          <w:marBottom w:val="0"/>
          <w:divBdr>
            <w:top w:val="none" w:sz="0" w:space="0" w:color="auto"/>
            <w:left w:val="none" w:sz="0" w:space="0" w:color="auto"/>
            <w:bottom w:val="none" w:sz="0" w:space="0" w:color="auto"/>
            <w:right w:val="none" w:sz="0" w:space="0" w:color="auto"/>
          </w:divBdr>
        </w:div>
      </w:divsChild>
    </w:div>
    <w:div w:id="1380787753">
      <w:bodyDiv w:val="1"/>
      <w:marLeft w:val="0"/>
      <w:marRight w:val="0"/>
      <w:marTop w:val="0"/>
      <w:marBottom w:val="0"/>
      <w:divBdr>
        <w:top w:val="none" w:sz="0" w:space="0" w:color="auto"/>
        <w:left w:val="none" w:sz="0" w:space="0" w:color="auto"/>
        <w:bottom w:val="none" w:sz="0" w:space="0" w:color="auto"/>
        <w:right w:val="none" w:sz="0" w:space="0" w:color="auto"/>
      </w:divBdr>
    </w:div>
    <w:div w:id="1429697733">
      <w:bodyDiv w:val="1"/>
      <w:marLeft w:val="0"/>
      <w:marRight w:val="0"/>
      <w:marTop w:val="0"/>
      <w:marBottom w:val="0"/>
      <w:divBdr>
        <w:top w:val="none" w:sz="0" w:space="0" w:color="auto"/>
        <w:left w:val="none" w:sz="0" w:space="0" w:color="auto"/>
        <w:bottom w:val="none" w:sz="0" w:space="0" w:color="auto"/>
        <w:right w:val="none" w:sz="0" w:space="0" w:color="auto"/>
      </w:divBdr>
    </w:div>
    <w:div w:id="1487669005">
      <w:bodyDiv w:val="1"/>
      <w:marLeft w:val="0"/>
      <w:marRight w:val="0"/>
      <w:marTop w:val="0"/>
      <w:marBottom w:val="0"/>
      <w:divBdr>
        <w:top w:val="none" w:sz="0" w:space="0" w:color="auto"/>
        <w:left w:val="none" w:sz="0" w:space="0" w:color="auto"/>
        <w:bottom w:val="none" w:sz="0" w:space="0" w:color="auto"/>
        <w:right w:val="none" w:sz="0" w:space="0" w:color="auto"/>
      </w:divBdr>
    </w:div>
    <w:div w:id="1558585008">
      <w:bodyDiv w:val="1"/>
      <w:marLeft w:val="0"/>
      <w:marRight w:val="0"/>
      <w:marTop w:val="0"/>
      <w:marBottom w:val="0"/>
      <w:divBdr>
        <w:top w:val="none" w:sz="0" w:space="0" w:color="auto"/>
        <w:left w:val="none" w:sz="0" w:space="0" w:color="auto"/>
        <w:bottom w:val="none" w:sz="0" w:space="0" w:color="auto"/>
        <w:right w:val="none" w:sz="0" w:space="0" w:color="auto"/>
      </w:divBdr>
    </w:div>
    <w:div w:id="1583026701">
      <w:bodyDiv w:val="1"/>
      <w:marLeft w:val="0"/>
      <w:marRight w:val="0"/>
      <w:marTop w:val="0"/>
      <w:marBottom w:val="0"/>
      <w:divBdr>
        <w:top w:val="none" w:sz="0" w:space="0" w:color="auto"/>
        <w:left w:val="none" w:sz="0" w:space="0" w:color="auto"/>
        <w:bottom w:val="none" w:sz="0" w:space="0" w:color="auto"/>
        <w:right w:val="none" w:sz="0" w:space="0" w:color="auto"/>
      </w:divBdr>
    </w:div>
    <w:div w:id="1823962695">
      <w:bodyDiv w:val="1"/>
      <w:marLeft w:val="0"/>
      <w:marRight w:val="0"/>
      <w:marTop w:val="0"/>
      <w:marBottom w:val="0"/>
      <w:divBdr>
        <w:top w:val="none" w:sz="0" w:space="0" w:color="auto"/>
        <w:left w:val="none" w:sz="0" w:space="0" w:color="auto"/>
        <w:bottom w:val="none" w:sz="0" w:space="0" w:color="auto"/>
        <w:right w:val="none" w:sz="0" w:space="0" w:color="auto"/>
      </w:divBdr>
    </w:div>
    <w:div w:id="1864438532">
      <w:bodyDiv w:val="1"/>
      <w:marLeft w:val="0"/>
      <w:marRight w:val="0"/>
      <w:marTop w:val="0"/>
      <w:marBottom w:val="0"/>
      <w:divBdr>
        <w:top w:val="none" w:sz="0" w:space="0" w:color="auto"/>
        <w:left w:val="none" w:sz="0" w:space="0" w:color="auto"/>
        <w:bottom w:val="none" w:sz="0" w:space="0" w:color="auto"/>
        <w:right w:val="none" w:sz="0" w:space="0" w:color="auto"/>
      </w:divBdr>
    </w:div>
    <w:div w:id="1869680320">
      <w:bodyDiv w:val="1"/>
      <w:marLeft w:val="0"/>
      <w:marRight w:val="0"/>
      <w:marTop w:val="0"/>
      <w:marBottom w:val="0"/>
      <w:divBdr>
        <w:top w:val="none" w:sz="0" w:space="0" w:color="auto"/>
        <w:left w:val="none" w:sz="0" w:space="0" w:color="auto"/>
        <w:bottom w:val="none" w:sz="0" w:space="0" w:color="auto"/>
        <w:right w:val="none" w:sz="0" w:space="0" w:color="auto"/>
      </w:divBdr>
    </w:div>
    <w:div w:id="2030911466">
      <w:bodyDiv w:val="1"/>
      <w:marLeft w:val="0"/>
      <w:marRight w:val="0"/>
      <w:marTop w:val="0"/>
      <w:marBottom w:val="0"/>
      <w:divBdr>
        <w:top w:val="none" w:sz="0" w:space="0" w:color="auto"/>
        <w:left w:val="none" w:sz="0" w:space="0" w:color="auto"/>
        <w:bottom w:val="none" w:sz="0" w:space="0" w:color="auto"/>
        <w:right w:val="none" w:sz="0" w:space="0" w:color="auto"/>
      </w:divBdr>
      <w:divsChild>
        <w:div w:id="1948385329">
          <w:marLeft w:val="0"/>
          <w:marRight w:val="0"/>
          <w:marTop w:val="0"/>
          <w:marBottom w:val="0"/>
          <w:divBdr>
            <w:top w:val="none" w:sz="0" w:space="0" w:color="auto"/>
            <w:left w:val="none" w:sz="0" w:space="0" w:color="auto"/>
            <w:bottom w:val="none" w:sz="0" w:space="0" w:color="auto"/>
            <w:right w:val="none" w:sz="0" w:space="0" w:color="auto"/>
          </w:divBdr>
        </w:div>
        <w:div w:id="1299140956">
          <w:marLeft w:val="0"/>
          <w:marRight w:val="0"/>
          <w:marTop w:val="0"/>
          <w:marBottom w:val="0"/>
          <w:divBdr>
            <w:top w:val="none" w:sz="0" w:space="0" w:color="auto"/>
            <w:left w:val="none" w:sz="0" w:space="0" w:color="auto"/>
            <w:bottom w:val="none" w:sz="0" w:space="0" w:color="auto"/>
            <w:right w:val="none" w:sz="0" w:space="0" w:color="auto"/>
          </w:divBdr>
        </w:div>
        <w:div w:id="1661539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1038</Words>
  <Characters>5920</Characters>
  <Application>Microsoft Office Word</Application>
  <DocSecurity>0</DocSecurity>
  <Lines>49</Lines>
  <Paragraphs>13</Paragraphs>
  <ScaleCrop>false</ScaleCrop>
  <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 - Sarah Clarke</dc:creator>
  <cp:keywords/>
  <dc:description/>
  <cp:lastModifiedBy>KIN - Sarah Clarke</cp:lastModifiedBy>
  <cp:revision>38</cp:revision>
  <dcterms:created xsi:type="dcterms:W3CDTF">2025-03-11T11:59:00Z</dcterms:created>
  <dcterms:modified xsi:type="dcterms:W3CDTF">2025-03-11T19:38:00Z</dcterms:modified>
</cp:coreProperties>
</file>